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C40B30" w14:textId="0EEDB75D" w:rsidR="00A5672A" w:rsidRPr="00CD0013" w:rsidRDefault="280CF157" w:rsidP="00F66C66">
      <w:pPr>
        <w:pStyle w:val="Heading1"/>
        <w:rPr>
          <w:rFonts w:eastAsiaTheme="minorEastAsia"/>
          <w:color w:val="auto"/>
        </w:rPr>
      </w:pPr>
      <w:r w:rsidRPr="00CD0013">
        <w:rPr>
          <w:rFonts w:eastAsiaTheme="minorEastAsia"/>
          <w:color w:val="auto"/>
        </w:rPr>
        <w:t>Findings report - DWP Engagement Programme launch event</w:t>
      </w:r>
      <w:r w:rsidR="00CD0013">
        <w:rPr>
          <w:rFonts w:eastAsiaTheme="minorEastAsia"/>
          <w:color w:val="auto"/>
        </w:rPr>
        <w:t>: i</w:t>
      </w:r>
      <w:r w:rsidRPr="00CD0013">
        <w:rPr>
          <w:rFonts w:eastAsiaTheme="minorEastAsia"/>
          <w:color w:val="auto"/>
        </w:rPr>
        <w:t xml:space="preserve">nformation sharing </w:t>
      </w:r>
      <w:r w:rsidRPr="00CD0013">
        <w:rPr>
          <w:rFonts w:eastAsiaTheme="minorEastAsia"/>
          <w:color w:val="auto"/>
          <w:lang w:eastAsia="en-GB"/>
        </w:rPr>
        <w:t>for better employment, health and social justice outcomes</w:t>
      </w:r>
    </w:p>
    <w:p w14:paraId="0E11C48C" w14:textId="77777777" w:rsidR="0033264C" w:rsidRPr="00DE51CB" w:rsidRDefault="0033264C" w:rsidP="0033264C">
      <w:pPr>
        <w:spacing w:after="0" w:line="240" w:lineRule="auto"/>
        <w:textAlignment w:val="center"/>
        <w:rPr>
          <w:rFonts w:eastAsiaTheme="minorEastAsia" w:cstheme="minorHAnsi"/>
          <w:b/>
          <w:bCs/>
          <w:lang w:eastAsia="en-GB"/>
        </w:rPr>
      </w:pPr>
    </w:p>
    <w:p w14:paraId="1AC61B1B" w14:textId="5E6016AD" w:rsidR="00CD0013" w:rsidRPr="00CD0013" w:rsidRDefault="280CF157" w:rsidP="00CD0013">
      <w:pPr>
        <w:pStyle w:val="Heading2"/>
        <w:rPr>
          <w:rFonts w:eastAsiaTheme="minorEastAsia"/>
          <w:lang w:eastAsia="en-GB"/>
        </w:rPr>
      </w:pPr>
      <w:r w:rsidRPr="00CD0013">
        <w:rPr>
          <w:rFonts w:eastAsiaTheme="minorEastAsia"/>
          <w:lang w:eastAsia="en-GB"/>
        </w:rPr>
        <w:t>The purpose of this report is to:</w:t>
      </w:r>
    </w:p>
    <w:p w14:paraId="5ED9950F" w14:textId="7B8298AC" w:rsidR="00F82C86" w:rsidRPr="00DE51CB" w:rsidRDefault="00DE51CB" w:rsidP="00CD0013">
      <w:pPr>
        <w:pStyle w:val="ListParagraph"/>
        <w:numPr>
          <w:ilvl w:val="0"/>
          <w:numId w:val="37"/>
        </w:numPr>
        <w:rPr>
          <w:lang w:eastAsia="en-GB"/>
        </w:rPr>
      </w:pPr>
      <w:r>
        <w:rPr>
          <w:lang w:eastAsia="en-GB"/>
        </w:rPr>
        <w:t>p</w:t>
      </w:r>
      <w:r w:rsidR="280CF157" w:rsidRPr="00DE51CB">
        <w:rPr>
          <w:lang w:eastAsia="en-GB"/>
        </w:rPr>
        <w:t>rovide an overview of the findings from the launch event</w:t>
      </w:r>
      <w:r>
        <w:rPr>
          <w:lang w:eastAsia="en-GB"/>
        </w:rPr>
        <w:t>;</w:t>
      </w:r>
    </w:p>
    <w:p w14:paraId="73DC45F6" w14:textId="77777777" w:rsidR="00DE51CB" w:rsidRDefault="00DE51CB" w:rsidP="00CD0013">
      <w:pPr>
        <w:pStyle w:val="ListParagraph"/>
        <w:numPr>
          <w:ilvl w:val="0"/>
          <w:numId w:val="37"/>
        </w:numPr>
        <w:rPr>
          <w:lang w:eastAsia="en-GB"/>
        </w:rPr>
      </w:pPr>
      <w:r>
        <w:rPr>
          <w:lang w:eastAsia="en-GB"/>
        </w:rPr>
        <w:t>i</w:t>
      </w:r>
      <w:r w:rsidR="280CF157" w:rsidRPr="00DE51CB">
        <w:rPr>
          <w:lang w:eastAsia="en-GB"/>
        </w:rPr>
        <w:t>dentify key information sharing challenges for further investigation</w:t>
      </w:r>
      <w:r>
        <w:rPr>
          <w:lang w:eastAsia="en-GB"/>
        </w:rPr>
        <w:t>; and</w:t>
      </w:r>
    </w:p>
    <w:p w14:paraId="0789F1FE" w14:textId="43700B4C" w:rsidR="00F82C86" w:rsidRPr="00CD0013" w:rsidRDefault="00DE51CB" w:rsidP="00CD0013">
      <w:pPr>
        <w:pStyle w:val="ListParagraph"/>
        <w:numPr>
          <w:ilvl w:val="0"/>
          <w:numId w:val="37"/>
        </w:numPr>
        <w:rPr>
          <w:lang w:eastAsia="en-GB"/>
        </w:rPr>
      </w:pPr>
      <w:r>
        <w:rPr>
          <w:lang w:eastAsia="en-GB"/>
        </w:rPr>
        <w:t xml:space="preserve">provide context so </w:t>
      </w:r>
      <w:r w:rsidR="280CF157" w:rsidRPr="00DE51CB">
        <w:rPr>
          <w:lang w:eastAsia="en-GB"/>
        </w:rPr>
        <w:t xml:space="preserve">feedback </w:t>
      </w:r>
      <w:r>
        <w:rPr>
          <w:lang w:eastAsia="en-GB"/>
        </w:rPr>
        <w:t xml:space="preserve">can be given by </w:t>
      </w:r>
      <w:r w:rsidR="00376893">
        <w:rPr>
          <w:lang w:eastAsia="en-GB"/>
        </w:rPr>
        <w:t>DWP leads</w:t>
      </w:r>
      <w:bookmarkStart w:id="0" w:name="_GoBack"/>
      <w:bookmarkEnd w:id="0"/>
      <w:r w:rsidR="00E52F58">
        <w:rPr>
          <w:lang w:eastAsia="en-GB"/>
        </w:rPr>
        <w:t xml:space="preserve"> </w:t>
      </w:r>
      <w:r w:rsidR="280CF157" w:rsidRPr="00DE51CB">
        <w:rPr>
          <w:lang w:eastAsia="en-GB"/>
        </w:rPr>
        <w:t>on the key challenges identified</w:t>
      </w:r>
      <w:r>
        <w:rPr>
          <w:lang w:eastAsia="en-GB"/>
        </w:rPr>
        <w:t xml:space="preserve">. This will </w:t>
      </w:r>
      <w:r w:rsidR="280CF157" w:rsidRPr="00DE51CB">
        <w:rPr>
          <w:lang w:eastAsia="en-GB"/>
        </w:rPr>
        <w:t>help inform the development of a delivery plan for the next stage of the DWP Engagement Programme.</w:t>
      </w:r>
    </w:p>
    <w:p w14:paraId="06EDE6EA" w14:textId="32D60BD8" w:rsidR="001F1E09" w:rsidRPr="00DE51CB" w:rsidRDefault="280CF157" w:rsidP="00CD0013">
      <w:pPr>
        <w:pStyle w:val="Heading2"/>
        <w:rPr>
          <w:rFonts w:eastAsiaTheme="minorEastAsia"/>
          <w:lang w:eastAsia="en-GB"/>
        </w:rPr>
      </w:pPr>
      <w:r w:rsidRPr="00DE51CB">
        <w:rPr>
          <w:rFonts w:eastAsiaTheme="minorEastAsia"/>
          <w:lang w:eastAsia="en-GB"/>
        </w:rPr>
        <w:t>Background and overview of the launch event</w:t>
      </w:r>
      <w:r w:rsidR="00F66C66">
        <w:rPr>
          <w:rFonts w:eastAsiaTheme="minorEastAsia"/>
          <w:lang w:eastAsia="en-GB"/>
        </w:rPr>
        <w:t>:</w:t>
      </w:r>
    </w:p>
    <w:p w14:paraId="28AC075C" w14:textId="6F58E01A" w:rsidR="0034154A" w:rsidRPr="00DE51CB" w:rsidRDefault="280CF157" w:rsidP="00CD0013">
      <w:pPr>
        <w:rPr>
          <w:lang w:eastAsia="en-GB"/>
        </w:rPr>
      </w:pPr>
      <w:r w:rsidRPr="00DE51CB">
        <w:rPr>
          <w:lang w:eastAsia="en-GB"/>
        </w:rPr>
        <w:t>The Department for Work and Pensions (DWP) Engagement Programme launch event was held at Five Ways House, Birmingham on the 27</w:t>
      </w:r>
      <w:r w:rsidRPr="00DE51CB">
        <w:rPr>
          <w:vertAlign w:val="superscript"/>
          <w:lang w:eastAsia="en-GB"/>
        </w:rPr>
        <w:t>th</w:t>
      </w:r>
      <w:r w:rsidRPr="00DE51CB">
        <w:rPr>
          <w:lang w:eastAsia="en-GB"/>
        </w:rPr>
        <w:t xml:space="preserve"> March 2017</w:t>
      </w:r>
      <w:r w:rsidRPr="00DE51CB">
        <w:rPr>
          <w:i/>
          <w:iCs/>
          <w:lang w:eastAsia="en-GB"/>
        </w:rPr>
        <w:t>.</w:t>
      </w:r>
      <w:r w:rsidRPr="00DE51CB">
        <w:rPr>
          <w:lang w:eastAsia="en-GB"/>
        </w:rPr>
        <w:t xml:space="preserve"> Delivered by the Centre of Excellence for Information Sharing (the Centre), the event marked the launch of a period of intensive engagement with local places, to support DWP and the joint DWP/DH Work and Health Unit.  Known as the DWP Engagement Programme, this work will involve engaging and working with a small group of local system partners with an interest in employment support, health and social justice issues.</w:t>
      </w:r>
    </w:p>
    <w:p w14:paraId="0C44AACA" w14:textId="276A5BAE" w:rsidR="000E2FB3" w:rsidRDefault="280CF157" w:rsidP="00CD0013">
      <w:pPr>
        <w:rPr>
          <w:lang w:eastAsia="en-GB"/>
        </w:rPr>
      </w:pPr>
      <w:r w:rsidRPr="00DE51CB">
        <w:rPr>
          <w:lang w:eastAsia="en-GB"/>
        </w:rPr>
        <w:t>The aim of the Engagement Programme is to understand, and help improve, information sharing between local system partners.  Thus, enabling local services to support different groups of people with specific needs, who are likely to be in contact with a range of services, for example:</w:t>
      </w:r>
    </w:p>
    <w:p w14:paraId="62214F0E" w14:textId="237D9858" w:rsidR="005F4A73" w:rsidRPr="00DE51CB" w:rsidRDefault="00DE51CB" w:rsidP="00CD0013">
      <w:pPr>
        <w:pStyle w:val="ListParagraph"/>
        <w:numPr>
          <w:ilvl w:val="0"/>
          <w:numId w:val="38"/>
        </w:numPr>
        <w:rPr>
          <w:lang w:eastAsia="en-GB"/>
        </w:rPr>
      </w:pPr>
      <w:r>
        <w:rPr>
          <w:lang w:eastAsia="en-GB"/>
        </w:rPr>
        <w:t>p</w:t>
      </w:r>
      <w:r w:rsidR="280CF157" w:rsidRPr="00DE51CB">
        <w:rPr>
          <w:lang w:eastAsia="en-GB"/>
        </w:rPr>
        <w:t>eople in receipt of out-of-work benefits, for instance those in receipt of Employment and Support Allowance due to ill health who might benefit from improved support to treat or manage their health condition</w:t>
      </w:r>
      <w:r>
        <w:rPr>
          <w:lang w:eastAsia="en-GB"/>
        </w:rPr>
        <w:t>;</w:t>
      </w:r>
    </w:p>
    <w:p w14:paraId="32E2C492" w14:textId="648EF121" w:rsidR="005F4A73" w:rsidRPr="00DE51CB" w:rsidRDefault="00DE51CB" w:rsidP="00CD0013">
      <w:pPr>
        <w:pStyle w:val="ListParagraph"/>
        <w:numPr>
          <w:ilvl w:val="0"/>
          <w:numId w:val="38"/>
        </w:numPr>
        <w:rPr>
          <w:lang w:eastAsia="en-GB"/>
        </w:rPr>
      </w:pPr>
      <w:r>
        <w:rPr>
          <w:lang w:eastAsia="en-GB"/>
        </w:rPr>
        <w:t>p</w:t>
      </w:r>
      <w:r w:rsidR="280CF157" w:rsidRPr="00DE51CB">
        <w:rPr>
          <w:lang w:eastAsia="en-GB"/>
        </w:rPr>
        <w:t>eople living in families who have particularly disadvantaged circumstances (e.g. parents with substance misuse problems) who may have very specific support needs that require a case managed approach</w:t>
      </w:r>
      <w:r>
        <w:rPr>
          <w:lang w:eastAsia="en-GB"/>
        </w:rPr>
        <w:t>; or</w:t>
      </w:r>
    </w:p>
    <w:p w14:paraId="409BF1E0" w14:textId="3A56AA45" w:rsidR="005F4A73" w:rsidRPr="00DE51CB" w:rsidRDefault="00DE51CB" w:rsidP="00CD0013">
      <w:pPr>
        <w:pStyle w:val="ListParagraph"/>
        <w:numPr>
          <w:ilvl w:val="0"/>
          <w:numId w:val="38"/>
        </w:numPr>
        <w:rPr>
          <w:lang w:eastAsia="en-GB"/>
        </w:rPr>
      </w:pPr>
      <w:r>
        <w:rPr>
          <w:lang w:eastAsia="en-GB"/>
        </w:rPr>
        <w:t>p</w:t>
      </w:r>
      <w:r w:rsidR="280CF157" w:rsidRPr="00DE51CB">
        <w:rPr>
          <w:lang w:eastAsia="en-GB"/>
        </w:rPr>
        <w:t>eople who are in contact with health services like psychological therapy services but not welfare services, who might benefit from improved or more tailored employment support advice through Jobcentre Plus e.g. through Access to Work</w:t>
      </w:r>
    </w:p>
    <w:p w14:paraId="19381CAA" w14:textId="16F56635" w:rsidR="00C4429F" w:rsidRPr="00CD0013" w:rsidRDefault="280CF157" w:rsidP="00CD0013">
      <w:pPr>
        <w:rPr>
          <w:lang w:eastAsia="en-GB"/>
        </w:rPr>
      </w:pPr>
      <w:r w:rsidRPr="00DE51CB">
        <w:rPr>
          <w:lang w:eastAsia="en-GB"/>
        </w:rPr>
        <w:t>A key outcome of the programme will be to build capability across organisational boundaries in local places by documenting and sharing the learning captured, and, if desired</w:t>
      </w:r>
      <w:r w:rsidR="00DE51CB">
        <w:rPr>
          <w:lang w:eastAsia="en-GB"/>
        </w:rPr>
        <w:t>, create</w:t>
      </w:r>
      <w:r w:rsidRPr="00DE51CB">
        <w:rPr>
          <w:lang w:eastAsia="en-GB"/>
        </w:rPr>
        <w:t xml:space="preserve"> a peer learning network.</w:t>
      </w:r>
    </w:p>
    <w:p w14:paraId="4ED142BA" w14:textId="6D41D2CE" w:rsidR="00DE51CB" w:rsidRPr="00DE51CB" w:rsidRDefault="280CF157" w:rsidP="00CD0013">
      <w:pPr>
        <w:rPr>
          <w:lang w:eastAsia="en-GB"/>
        </w:rPr>
      </w:pPr>
      <w:r w:rsidRPr="00DE51CB">
        <w:rPr>
          <w:lang w:eastAsia="en-GB"/>
        </w:rPr>
        <w:t>With the wider Engagement Programme in mind, the objectives for the launch event itself were to:</w:t>
      </w:r>
    </w:p>
    <w:p w14:paraId="3F790EB0" w14:textId="6FB1BC32" w:rsidR="004136D4" w:rsidRPr="00DE51CB" w:rsidRDefault="00DE51CB" w:rsidP="00CD0013">
      <w:pPr>
        <w:pStyle w:val="ListParagraph"/>
        <w:numPr>
          <w:ilvl w:val="0"/>
          <w:numId w:val="39"/>
        </w:numPr>
        <w:rPr>
          <w:lang w:eastAsia="en-GB"/>
        </w:rPr>
      </w:pPr>
      <w:r w:rsidRPr="00CD0013">
        <w:rPr>
          <w:color w:val="000000" w:themeColor="text1"/>
          <w:lang w:eastAsia="en-GB"/>
        </w:rPr>
        <w:t>e</w:t>
      </w:r>
      <w:r w:rsidR="280CF157" w:rsidRPr="00CD0013">
        <w:rPr>
          <w:color w:val="000000" w:themeColor="text1"/>
          <w:lang w:eastAsia="en-GB"/>
        </w:rPr>
        <w:t>nsure participants understand what the programme is about</w:t>
      </w:r>
      <w:r w:rsidRPr="00CD0013">
        <w:rPr>
          <w:color w:val="000000" w:themeColor="text1"/>
          <w:lang w:eastAsia="en-GB"/>
        </w:rPr>
        <w:t>;</w:t>
      </w:r>
    </w:p>
    <w:p w14:paraId="22353B9F" w14:textId="31828AD9" w:rsidR="004136D4" w:rsidRPr="00DE51CB" w:rsidRDefault="00DE51CB" w:rsidP="00CD0013">
      <w:pPr>
        <w:pStyle w:val="ListParagraph"/>
        <w:numPr>
          <w:ilvl w:val="0"/>
          <w:numId w:val="39"/>
        </w:numPr>
        <w:rPr>
          <w:lang w:eastAsia="en-GB"/>
        </w:rPr>
      </w:pPr>
      <w:r w:rsidRPr="00CD0013">
        <w:rPr>
          <w:color w:val="000000" w:themeColor="text1"/>
          <w:lang w:eastAsia="en-GB"/>
        </w:rPr>
        <w:t>e</w:t>
      </w:r>
      <w:r w:rsidR="280CF157" w:rsidRPr="00CD0013">
        <w:rPr>
          <w:color w:val="000000" w:themeColor="text1"/>
          <w:lang w:eastAsia="en-GB"/>
        </w:rPr>
        <w:t>nsure that the programme will address participant interests and needs</w:t>
      </w:r>
      <w:r w:rsidRPr="00CD0013">
        <w:rPr>
          <w:color w:val="000000" w:themeColor="text1"/>
          <w:lang w:eastAsia="en-GB"/>
        </w:rPr>
        <w:t>;</w:t>
      </w:r>
    </w:p>
    <w:p w14:paraId="6F3D19C0" w14:textId="68A99FDA" w:rsidR="004136D4" w:rsidRPr="00CD0013" w:rsidRDefault="00DE51CB" w:rsidP="00CD0013">
      <w:pPr>
        <w:pStyle w:val="ListParagraph"/>
        <w:numPr>
          <w:ilvl w:val="0"/>
          <w:numId w:val="39"/>
        </w:numPr>
        <w:rPr>
          <w:color w:val="000000" w:themeColor="text1"/>
          <w:lang w:eastAsia="en-GB"/>
        </w:rPr>
      </w:pPr>
      <w:r w:rsidRPr="00CD0013">
        <w:rPr>
          <w:color w:val="000000" w:themeColor="text1"/>
          <w:lang w:eastAsia="en-GB"/>
        </w:rPr>
        <w:t>s</w:t>
      </w:r>
      <w:r w:rsidR="280CF157" w:rsidRPr="00CD0013">
        <w:rPr>
          <w:color w:val="000000" w:themeColor="text1"/>
          <w:lang w:eastAsia="en-GB"/>
        </w:rPr>
        <w:t>tart the process of building capability among the group</w:t>
      </w:r>
      <w:r w:rsidRPr="00CD0013">
        <w:rPr>
          <w:color w:val="000000" w:themeColor="text1"/>
          <w:lang w:eastAsia="en-GB"/>
        </w:rPr>
        <w:t>;</w:t>
      </w:r>
    </w:p>
    <w:p w14:paraId="1611D689" w14:textId="249BE9B5" w:rsidR="004136D4" w:rsidRPr="00CD0013" w:rsidRDefault="00DE51CB" w:rsidP="00CD0013">
      <w:pPr>
        <w:pStyle w:val="ListParagraph"/>
        <w:numPr>
          <w:ilvl w:val="0"/>
          <w:numId w:val="39"/>
        </w:numPr>
        <w:rPr>
          <w:color w:val="000000" w:themeColor="text1"/>
          <w:lang w:eastAsia="en-GB"/>
        </w:rPr>
      </w:pPr>
      <w:r w:rsidRPr="00CD0013">
        <w:rPr>
          <w:color w:val="000000" w:themeColor="text1"/>
          <w:lang w:eastAsia="en-GB"/>
        </w:rPr>
        <w:t>g</w:t>
      </w:r>
      <w:r w:rsidR="280CF157" w:rsidRPr="00CD0013">
        <w:rPr>
          <w:color w:val="000000" w:themeColor="text1"/>
          <w:lang w:eastAsia="en-GB"/>
        </w:rPr>
        <w:t>ather information to help to identify next steps including which local places the Centre will work with</w:t>
      </w:r>
      <w:r w:rsidRPr="00CD0013">
        <w:rPr>
          <w:color w:val="000000" w:themeColor="text1"/>
          <w:lang w:eastAsia="en-GB"/>
        </w:rPr>
        <w:t xml:space="preserve"> in more depth and what roles the Centre</w:t>
      </w:r>
      <w:r w:rsidR="280CF157" w:rsidRPr="00CD0013">
        <w:rPr>
          <w:color w:val="000000" w:themeColor="text1"/>
          <w:lang w:eastAsia="en-GB"/>
        </w:rPr>
        <w:t xml:space="preserve"> would like invited audience members to take</w:t>
      </w:r>
      <w:r w:rsidRPr="00CD0013">
        <w:rPr>
          <w:color w:val="000000" w:themeColor="text1"/>
          <w:lang w:eastAsia="en-GB"/>
        </w:rPr>
        <w:t>;</w:t>
      </w:r>
    </w:p>
    <w:p w14:paraId="455FFBF1" w14:textId="62860F84" w:rsidR="004136D4" w:rsidRPr="00DE51CB" w:rsidRDefault="00DE51CB" w:rsidP="00CD0013">
      <w:pPr>
        <w:pStyle w:val="ListParagraph"/>
        <w:numPr>
          <w:ilvl w:val="0"/>
          <w:numId w:val="39"/>
        </w:numPr>
        <w:spacing w:after="0" w:line="240" w:lineRule="auto"/>
        <w:rPr>
          <w:rFonts w:eastAsiaTheme="minorEastAsia" w:cstheme="minorHAnsi"/>
          <w:color w:val="000000" w:themeColor="text1"/>
          <w:lang w:eastAsia="en-GB"/>
        </w:rPr>
      </w:pPr>
      <w:r>
        <w:rPr>
          <w:rFonts w:eastAsiaTheme="minorEastAsia" w:cstheme="minorHAnsi"/>
          <w:color w:val="000000" w:themeColor="text1"/>
          <w:lang w:eastAsia="en-GB"/>
        </w:rPr>
        <w:t>u</w:t>
      </w:r>
      <w:r w:rsidR="280CF157" w:rsidRPr="00DE51CB">
        <w:rPr>
          <w:rFonts w:eastAsiaTheme="minorEastAsia" w:cstheme="minorHAnsi"/>
          <w:color w:val="000000" w:themeColor="text1"/>
          <w:lang w:eastAsia="en-GB"/>
        </w:rPr>
        <w:t>se the knowledge from the event to develop an initial set of findings which include:</w:t>
      </w:r>
    </w:p>
    <w:p w14:paraId="0E5132E8" w14:textId="01ABA3F2" w:rsidR="004136D4" w:rsidRPr="00DE51CB" w:rsidRDefault="00DE51CB" w:rsidP="00CD0013">
      <w:pPr>
        <w:pStyle w:val="ListParagraph"/>
        <w:numPr>
          <w:ilvl w:val="1"/>
          <w:numId w:val="39"/>
        </w:numPr>
        <w:spacing w:after="0" w:line="240" w:lineRule="auto"/>
        <w:rPr>
          <w:rFonts w:eastAsiaTheme="minorEastAsia" w:cstheme="minorHAnsi"/>
          <w:color w:val="000000" w:themeColor="text1"/>
          <w:lang w:eastAsia="en-GB"/>
        </w:rPr>
      </w:pPr>
      <w:r>
        <w:rPr>
          <w:rFonts w:eastAsiaTheme="minorEastAsia" w:cstheme="minorHAnsi"/>
          <w:color w:val="000000" w:themeColor="text1"/>
          <w:lang w:eastAsia="en-GB"/>
        </w:rPr>
        <w:lastRenderedPageBreak/>
        <w:t>i</w:t>
      </w:r>
      <w:r w:rsidR="280CF157" w:rsidRPr="00DE51CB">
        <w:rPr>
          <w:rFonts w:eastAsiaTheme="minorEastAsia" w:cstheme="minorHAnsi"/>
          <w:color w:val="000000" w:themeColor="text1"/>
          <w:lang w:eastAsia="en-GB"/>
        </w:rPr>
        <w:t>nforming a baseline for the information sharing impact journey on frontline practitioners</w:t>
      </w:r>
    </w:p>
    <w:p w14:paraId="16489AAD" w14:textId="0427665A" w:rsidR="00CD0013" w:rsidRDefault="00DE51CB" w:rsidP="00CD0013">
      <w:pPr>
        <w:pStyle w:val="ListParagraph"/>
        <w:numPr>
          <w:ilvl w:val="1"/>
          <w:numId w:val="39"/>
        </w:numPr>
        <w:spacing w:after="0" w:line="240" w:lineRule="auto"/>
        <w:rPr>
          <w:rFonts w:eastAsiaTheme="minorEastAsia" w:cstheme="minorHAnsi"/>
          <w:color w:val="000000" w:themeColor="text1"/>
          <w:lang w:eastAsia="en-GB"/>
        </w:rPr>
      </w:pPr>
      <w:r>
        <w:rPr>
          <w:rFonts w:eastAsiaTheme="minorEastAsia" w:cstheme="minorHAnsi"/>
          <w:color w:val="000000" w:themeColor="text1"/>
          <w:lang w:eastAsia="en-GB"/>
        </w:rPr>
        <w:t>a</w:t>
      </w:r>
      <w:r w:rsidR="280CF157" w:rsidRPr="00DE51CB">
        <w:rPr>
          <w:rFonts w:eastAsiaTheme="minorEastAsia" w:cstheme="minorHAnsi"/>
          <w:color w:val="000000" w:themeColor="text1"/>
          <w:lang w:eastAsia="en-GB"/>
        </w:rPr>
        <w:t>ssessing impact of the day</w:t>
      </w:r>
    </w:p>
    <w:p w14:paraId="768E3A92" w14:textId="77777777" w:rsidR="00F66C66" w:rsidRPr="00F66C66" w:rsidRDefault="00F66C66" w:rsidP="00F66C66">
      <w:pPr>
        <w:pStyle w:val="ListParagraph"/>
        <w:spacing w:after="0" w:line="240" w:lineRule="auto"/>
        <w:ind w:left="1440"/>
        <w:rPr>
          <w:rFonts w:eastAsiaTheme="minorEastAsia" w:cstheme="minorHAnsi"/>
          <w:color w:val="000000" w:themeColor="text1"/>
          <w:lang w:eastAsia="en-GB"/>
        </w:rPr>
      </w:pPr>
    </w:p>
    <w:p w14:paraId="7EF56D69" w14:textId="28FAC794" w:rsidR="001F1E09" w:rsidRPr="00DE51CB" w:rsidRDefault="280CF157" w:rsidP="00CD0013">
      <w:pPr>
        <w:rPr>
          <w:lang w:eastAsia="en-GB"/>
        </w:rPr>
      </w:pPr>
      <w:r w:rsidRPr="00DE51CB">
        <w:rPr>
          <w:lang w:eastAsia="en-GB"/>
        </w:rPr>
        <w:t xml:space="preserve">The launch event was </w:t>
      </w:r>
      <w:r w:rsidR="00D020FA">
        <w:rPr>
          <w:lang w:eastAsia="en-GB"/>
        </w:rPr>
        <w:t>attended by 32 people</w:t>
      </w:r>
      <w:r w:rsidRPr="00DE51CB">
        <w:rPr>
          <w:lang w:eastAsia="en-GB"/>
        </w:rPr>
        <w:t xml:space="preserve"> drawn from a wide range of local places, organisations and roles, such as:</w:t>
      </w:r>
    </w:p>
    <w:p w14:paraId="6D5B951B" w14:textId="26C8229E" w:rsidR="00C4429F" w:rsidRPr="00CD0013" w:rsidRDefault="00DE51CB" w:rsidP="00CD0013">
      <w:pPr>
        <w:pStyle w:val="ListParagraph"/>
        <w:numPr>
          <w:ilvl w:val="0"/>
          <w:numId w:val="40"/>
        </w:numPr>
        <w:rPr>
          <w:color w:val="000000" w:themeColor="text1"/>
          <w:lang w:eastAsia="en-GB"/>
        </w:rPr>
      </w:pPr>
      <w:r w:rsidRPr="00CD0013">
        <w:rPr>
          <w:color w:val="000000" w:themeColor="text1"/>
          <w:lang w:eastAsia="en-GB"/>
        </w:rPr>
        <w:t>Jobcentre Plus (JCP) Work C</w:t>
      </w:r>
      <w:r w:rsidR="280CF157" w:rsidRPr="00CD0013">
        <w:rPr>
          <w:color w:val="000000" w:themeColor="text1"/>
          <w:lang w:eastAsia="en-GB"/>
        </w:rPr>
        <w:t>oaches</w:t>
      </w:r>
      <w:r w:rsidRPr="00CD0013">
        <w:rPr>
          <w:color w:val="000000" w:themeColor="text1"/>
          <w:lang w:eastAsia="en-GB"/>
        </w:rPr>
        <w:t>;</w:t>
      </w:r>
    </w:p>
    <w:p w14:paraId="6D74218B" w14:textId="690CF99A" w:rsidR="00C4429F" w:rsidRPr="00CD0013" w:rsidRDefault="00DE51CB" w:rsidP="00CD0013">
      <w:pPr>
        <w:pStyle w:val="ListParagraph"/>
        <w:numPr>
          <w:ilvl w:val="0"/>
          <w:numId w:val="40"/>
        </w:numPr>
        <w:rPr>
          <w:color w:val="000000" w:themeColor="text1"/>
          <w:lang w:eastAsia="en-GB"/>
        </w:rPr>
      </w:pPr>
      <w:r w:rsidRPr="00CD0013">
        <w:rPr>
          <w:color w:val="000000" w:themeColor="text1"/>
          <w:lang w:eastAsia="en-GB"/>
        </w:rPr>
        <w:t>p</w:t>
      </w:r>
      <w:r w:rsidR="280CF157" w:rsidRPr="00CD0013">
        <w:rPr>
          <w:color w:val="000000" w:themeColor="text1"/>
          <w:lang w:eastAsia="en-GB"/>
        </w:rPr>
        <w:t>eople engaged in the Troubled Families programme, including Troubled Families Employment Advisers/JCP;</w:t>
      </w:r>
      <w:r w:rsidRPr="00CD0013">
        <w:rPr>
          <w:color w:val="000000" w:themeColor="text1"/>
          <w:lang w:eastAsia="en-GB"/>
        </w:rPr>
        <w:t xml:space="preserve"> and</w:t>
      </w:r>
    </w:p>
    <w:p w14:paraId="474A2850" w14:textId="61CACD7A" w:rsidR="003F5966" w:rsidRPr="00CD0013" w:rsidRDefault="00DE51CB" w:rsidP="00CD0013">
      <w:pPr>
        <w:pStyle w:val="ListParagraph"/>
        <w:numPr>
          <w:ilvl w:val="0"/>
          <w:numId w:val="40"/>
        </w:numPr>
        <w:rPr>
          <w:color w:val="000000" w:themeColor="text1"/>
          <w:lang w:eastAsia="en-GB"/>
        </w:rPr>
      </w:pPr>
      <w:r w:rsidRPr="00CD0013">
        <w:rPr>
          <w:color w:val="000000" w:themeColor="text1"/>
          <w:lang w:eastAsia="en-GB"/>
        </w:rPr>
        <w:t>o</w:t>
      </w:r>
      <w:r w:rsidR="280CF157" w:rsidRPr="00CD0013">
        <w:rPr>
          <w:color w:val="000000" w:themeColor="text1"/>
          <w:lang w:eastAsia="en-GB"/>
        </w:rPr>
        <w:t xml:space="preserve">rganisations supporting JCP customers </w:t>
      </w:r>
      <w:r w:rsidR="280CF157" w:rsidRPr="00D9194D">
        <w:rPr>
          <w:lang w:eastAsia="en-GB"/>
        </w:rPr>
        <w:t xml:space="preserve">with multiple </w:t>
      </w:r>
      <w:r w:rsidR="00D9194D" w:rsidRPr="00D9194D">
        <w:rPr>
          <w:lang w:eastAsia="en-GB"/>
        </w:rPr>
        <w:t xml:space="preserve">or </w:t>
      </w:r>
      <w:r w:rsidR="280CF157" w:rsidRPr="00D9194D">
        <w:rPr>
          <w:lang w:eastAsia="en-GB"/>
        </w:rPr>
        <w:t xml:space="preserve">complex needs including </w:t>
      </w:r>
      <w:r w:rsidR="280CF157" w:rsidRPr="00CD0013">
        <w:rPr>
          <w:color w:val="000000" w:themeColor="text1"/>
          <w:lang w:eastAsia="en-GB"/>
        </w:rPr>
        <w:t>voluntary and community sector organisations and local authorities</w:t>
      </w:r>
    </w:p>
    <w:p w14:paraId="045F5AED" w14:textId="55E94B0B" w:rsidR="004361C9" w:rsidRPr="00DE51CB" w:rsidRDefault="280CF157" w:rsidP="00CD0013">
      <w:pPr>
        <w:pStyle w:val="Heading2"/>
        <w:rPr>
          <w:rFonts w:eastAsiaTheme="minorEastAsia"/>
          <w:lang w:eastAsia="en-GB"/>
        </w:rPr>
      </w:pPr>
      <w:r w:rsidRPr="00DE51CB">
        <w:rPr>
          <w:rFonts w:eastAsiaTheme="minorEastAsia"/>
          <w:lang w:eastAsia="en-GB"/>
        </w:rPr>
        <w:t>Cultural themes – barriers, enablers and links with DWP work areas</w:t>
      </w:r>
      <w:r w:rsidR="00F66C66">
        <w:rPr>
          <w:rFonts w:eastAsiaTheme="minorEastAsia"/>
          <w:lang w:eastAsia="en-GB"/>
        </w:rPr>
        <w:t>:</w:t>
      </w:r>
    </w:p>
    <w:p w14:paraId="06B7ED7E" w14:textId="308A7F28" w:rsidR="00F82C86" w:rsidRPr="00DE51CB" w:rsidRDefault="00E87A89" w:rsidP="00CD0013">
      <w:pPr>
        <w:rPr>
          <w:lang w:eastAsia="en-GB"/>
        </w:rPr>
      </w:pPr>
      <w:r>
        <w:rPr>
          <w:lang w:eastAsia="en-GB"/>
        </w:rPr>
        <w:t>In previous work, t</w:t>
      </w:r>
      <w:r w:rsidR="280CF157" w:rsidRPr="00DE51CB">
        <w:rPr>
          <w:lang w:eastAsia="en-GB"/>
        </w:rPr>
        <w:t xml:space="preserve">he Centre has identified seven cultural themes commonly found to be an enabler of, and/or barrier to, information sharing in the context of public service reform.  </w:t>
      </w:r>
      <w:r>
        <w:rPr>
          <w:lang w:eastAsia="en-GB"/>
        </w:rPr>
        <w:t xml:space="preserve">An initial task during the event, was to identify </w:t>
      </w:r>
      <w:r w:rsidR="280CF157" w:rsidRPr="00DE51CB">
        <w:rPr>
          <w:lang w:eastAsia="en-GB"/>
        </w:rPr>
        <w:t>which, if any, of these cultural themes resonated with D</w:t>
      </w:r>
      <w:r w:rsidR="00F66C66">
        <w:rPr>
          <w:lang w:eastAsia="en-GB"/>
        </w:rPr>
        <w:t>WP/JCP staff and their partners.</w:t>
      </w:r>
    </w:p>
    <w:p w14:paraId="193036FC" w14:textId="3C0E74EA" w:rsidR="007C3E06" w:rsidRPr="007C3E06" w:rsidRDefault="280CF157" w:rsidP="00CD0013">
      <w:pPr>
        <w:rPr>
          <w:lang w:eastAsia="en-GB"/>
        </w:rPr>
      </w:pPr>
      <w:r w:rsidRPr="00DE51CB">
        <w:rPr>
          <w:lang w:eastAsia="en-GB"/>
        </w:rPr>
        <w:t>Summarising t</w:t>
      </w:r>
      <w:r w:rsidR="007C3E06">
        <w:rPr>
          <w:lang w:eastAsia="en-GB"/>
        </w:rPr>
        <w:t>he feedback from exercise two, table one</w:t>
      </w:r>
      <w:r w:rsidRPr="00DE51CB">
        <w:rPr>
          <w:lang w:eastAsia="en-GB"/>
        </w:rPr>
        <w:t xml:space="preserve"> (below) shows that </w:t>
      </w:r>
      <w:r w:rsidR="00E07A9D" w:rsidRPr="00DE51CB">
        <w:rPr>
          <w:lang w:eastAsia="en-GB"/>
        </w:rPr>
        <w:t>all</w:t>
      </w:r>
      <w:r w:rsidR="00D9194D">
        <w:rPr>
          <w:lang w:eastAsia="en-GB"/>
        </w:rPr>
        <w:t xml:space="preserve"> </w:t>
      </w:r>
      <w:r w:rsidRPr="00DE51CB">
        <w:rPr>
          <w:lang w:eastAsia="en-GB"/>
        </w:rPr>
        <w:t>the Centre’s cultural themes are relevant in the context of information sharing to improve work and health outcomes.</w:t>
      </w:r>
    </w:p>
    <w:p w14:paraId="0F1DCDFB" w14:textId="7686CE65" w:rsidR="007C3E06" w:rsidRDefault="007C3E06" w:rsidP="280CF157">
      <w:pPr>
        <w:spacing w:after="0" w:line="240" w:lineRule="auto"/>
        <w:textAlignment w:val="center"/>
        <w:rPr>
          <w:rFonts w:eastAsiaTheme="minorEastAsia" w:cstheme="minorHAnsi"/>
          <w:lang w:eastAsia="en-GB"/>
        </w:rPr>
      </w:pPr>
    </w:p>
    <w:p w14:paraId="297DB8ED" w14:textId="12020704" w:rsidR="00BC05D1" w:rsidRPr="00CD0013" w:rsidRDefault="007C3E06" w:rsidP="00CD0013">
      <w:pPr>
        <w:pStyle w:val="Heading2"/>
        <w:rPr>
          <w:rFonts w:asciiTheme="minorHAnsi" w:eastAsiaTheme="minorEastAsia" w:hAnsiTheme="minorHAnsi"/>
          <w:sz w:val="22"/>
          <w:szCs w:val="22"/>
          <w:lang w:eastAsia="en-GB"/>
        </w:rPr>
      </w:pPr>
      <w:r w:rsidRPr="00C90C2D">
        <w:rPr>
          <w:rFonts w:eastAsiaTheme="minorEastAsia"/>
          <w:lang w:eastAsia="en-GB"/>
        </w:rPr>
        <w:t>Table one:</w:t>
      </w:r>
    </w:p>
    <w:tbl>
      <w:tblPr>
        <w:tblStyle w:val="TableGrid"/>
        <w:tblW w:w="8789" w:type="dxa"/>
        <w:tblInd w:w="-5" w:type="dxa"/>
        <w:tblLayout w:type="fixed"/>
        <w:tblLook w:val="04A0" w:firstRow="1" w:lastRow="0" w:firstColumn="1" w:lastColumn="0" w:noHBand="0" w:noVBand="1"/>
      </w:tblPr>
      <w:tblGrid>
        <w:gridCol w:w="6521"/>
        <w:gridCol w:w="1134"/>
        <w:gridCol w:w="1134"/>
      </w:tblGrid>
      <w:tr w:rsidR="00F82C86" w:rsidRPr="00DE51CB" w14:paraId="64DB2B65" w14:textId="77777777" w:rsidTr="280CF157">
        <w:trPr>
          <w:trHeight w:val="269"/>
        </w:trPr>
        <w:tc>
          <w:tcPr>
            <w:tcW w:w="6521" w:type="dxa"/>
            <w:vMerge w:val="restart"/>
            <w:shd w:val="clear" w:color="auto" w:fill="BDD6EE" w:themeFill="accent1" w:themeFillTint="66"/>
            <w:vAlign w:val="bottom"/>
          </w:tcPr>
          <w:p w14:paraId="2EDFEC12" w14:textId="77777777" w:rsidR="00F82C86" w:rsidRPr="00DE51CB" w:rsidRDefault="280CF157" w:rsidP="280CF157">
            <w:pPr>
              <w:rPr>
                <w:rFonts w:eastAsiaTheme="minorBidi" w:cstheme="minorHAnsi"/>
                <w:b/>
                <w:bCs/>
              </w:rPr>
            </w:pPr>
            <w:r w:rsidRPr="00DE51CB">
              <w:rPr>
                <w:rFonts w:eastAsiaTheme="minorBidi" w:cstheme="minorHAnsi"/>
                <w:b/>
                <w:bCs/>
              </w:rPr>
              <w:t>Cultural themes</w:t>
            </w:r>
          </w:p>
        </w:tc>
        <w:tc>
          <w:tcPr>
            <w:tcW w:w="1134" w:type="dxa"/>
            <w:vMerge w:val="restart"/>
            <w:shd w:val="clear" w:color="auto" w:fill="BDD6EE" w:themeFill="accent1" w:themeFillTint="66"/>
            <w:vAlign w:val="bottom"/>
          </w:tcPr>
          <w:p w14:paraId="5F7030C6" w14:textId="77777777" w:rsidR="00F82C86" w:rsidRPr="00DE51CB" w:rsidRDefault="280CF157" w:rsidP="280CF157">
            <w:pPr>
              <w:jc w:val="center"/>
              <w:textAlignment w:val="center"/>
              <w:rPr>
                <w:rFonts w:eastAsiaTheme="minorBidi" w:cstheme="minorHAnsi"/>
                <w:b/>
                <w:bCs/>
                <w:lang w:eastAsia="en-GB"/>
              </w:rPr>
            </w:pPr>
            <w:r w:rsidRPr="00DE51CB">
              <w:rPr>
                <w:rFonts w:eastAsiaTheme="minorBidi" w:cstheme="minorHAnsi"/>
                <w:b/>
                <w:bCs/>
                <w:lang w:eastAsia="en-GB"/>
              </w:rPr>
              <w:t>Enabler?</w:t>
            </w:r>
          </w:p>
        </w:tc>
        <w:tc>
          <w:tcPr>
            <w:tcW w:w="1134" w:type="dxa"/>
            <w:vMerge w:val="restart"/>
            <w:shd w:val="clear" w:color="auto" w:fill="BDD6EE" w:themeFill="accent1" w:themeFillTint="66"/>
            <w:vAlign w:val="bottom"/>
          </w:tcPr>
          <w:p w14:paraId="6E0C0BA5" w14:textId="77777777" w:rsidR="00F82C86" w:rsidRPr="00DE51CB" w:rsidRDefault="280CF157" w:rsidP="280CF157">
            <w:pPr>
              <w:jc w:val="center"/>
              <w:textAlignment w:val="center"/>
              <w:rPr>
                <w:rFonts w:eastAsiaTheme="minorBidi" w:cstheme="minorHAnsi"/>
                <w:b/>
                <w:bCs/>
                <w:lang w:eastAsia="en-GB"/>
              </w:rPr>
            </w:pPr>
            <w:r w:rsidRPr="00DE51CB">
              <w:rPr>
                <w:rFonts w:eastAsiaTheme="minorBidi" w:cstheme="minorHAnsi"/>
                <w:b/>
                <w:bCs/>
                <w:lang w:eastAsia="en-GB"/>
              </w:rPr>
              <w:t>Barrier?</w:t>
            </w:r>
          </w:p>
        </w:tc>
      </w:tr>
      <w:tr w:rsidR="00F82C86" w:rsidRPr="00DE51CB" w14:paraId="01186908" w14:textId="77777777" w:rsidTr="00F82C86">
        <w:trPr>
          <w:trHeight w:val="450"/>
        </w:trPr>
        <w:tc>
          <w:tcPr>
            <w:tcW w:w="6521" w:type="dxa"/>
            <w:vMerge/>
            <w:shd w:val="clear" w:color="auto" w:fill="BDD6EE" w:themeFill="accent1" w:themeFillTint="66"/>
            <w:hideMark/>
          </w:tcPr>
          <w:p w14:paraId="471CB30F" w14:textId="77777777" w:rsidR="00F82C86" w:rsidRPr="00DE51CB" w:rsidRDefault="00F82C86" w:rsidP="0020401A">
            <w:pPr>
              <w:rPr>
                <w:rFonts w:cstheme="minorHAnsi"/>
                <w:b/>
                <w:bCs/>
              </w:rPr>
            </w:pPr>
          </w:p>
        </w:tc>
        <w:tc>
          <w:tcPr>
            <w:tcW w:w="1134" w:type="dxa"/>
            <w:vMerge/>
            <w:shd w:val="clear" w:color="auto" w:fill="BDD6EE" w:themeFill="accent1" w:themeFillTint="66"/>
          </w:tcPr>
          <w:p w14:paraId="330E1979" w14:textId="77777777" w:rsidR="00F82C86" w:rsidRPr="00DE51CB" w:rsidRDefault="00F82C86" w:rsidP="0020401A">
            <w:pPr>
              <w:textAlignment w:val="center"/>
              <w:rPr>
                <w:rFonts w:eastAsia="Calibri" w:cstheme="minorHAnsi"/>
                <w:b/>
                <w:bCs/>
                <w:lang w:eastAsia="en-GB"/>
              </w:rPr>
            </w:pPr>
          </w:p>
        </w:tc>
        <w:tc>
          <w:tcPr>
            <w:tcW w:w="1134" w:type="dxa"/>
            <w:vMerge/>
            <w:shd w:val="clear" w:color="auto" w:fill="BDD6EE" w:themeFill="accent1" w:themeFillTint="66"/>
          </w:tcPr>
          <w:p w14:paraId="3EF3F453" w14:textId="77777777" w:rsidR="00F82C86" w:rsidRPr="00DE51CB" w:rsidRDefault="00F82C86" w:rsidP="0020401A">
            <w:pPr>
              <w:textAlignment w:val="center"/>
              <w:rPr>
                <w:rFonts w:eastAsia="Calibri" w:cstheme="minorHAnsi"/>
                <w:b/>
                <w:bCs/>
                <w:lang w:eastAsia="en-GB"/>
              </w:rPr>
            </w:pPr>
          </w:p>
        </w:tc>
      </w:tr>
      <w:tr w:rsidR="00F82C86" w:rsidRPr="00DE51CB" w14:paraId="263FBF3F" w14:textId="77777777" w:rsidTr="00F66C66">
        <w:tc>
          <w:tcPr>
            <w:tcW w:w="6521" w:type="dxa"/>
            <w:shd w:val="clear" w:color="auto" w:fill="BDD6EE" w:themeFill="accent1" w:themeFillTint="66"/>
            <w:vAlign w:val="center"/>
            <w:hideMark/>
          </w:tcPr>
          <w:p w14:paraId="2082016B" w14:textId="77777777" w:rsidR="00F82C86" w:rsidRPr="00DE51CB" w:rsidRDefault="280CF157" w:rsidP="6E7FC0EC">
            <w:pPr>
              <w:rPr>
                <w:rFonts w:eastAsiaTheme="minorBidi" w:cstheme="minorHAnsi"/>
              </w:rPr>
            </w:pPr>
            <w:r w:rsidRPr="00DE51CB">
              <w:rPr>
                <w:rFonts w:eastAsiaTheme="minorBidi" w:cstheme="minorHAnsi"/>
              </w:rPr>
              <w:t>Making informed decisions and managing risk</w:t>
            </w:r>
          </w:p>
        </w:tc>
        <w:tc>
          <w:tcPr>
            <w:tcW w:w="1134" w:type="dxa"/>
            <w:shd w:val="clear" w:color="auto" w:fill="D9D9D9" w:themeFill="background1" w:themeFillShade="D9"/>
          </w:tcPr>
          <w:p w14:paraId="367D317A" w14:textId="3DDB0CE1" w:rsidR="00F82C86" w:rsidRPr="007C3E06" w:rsidRDefault="00F82C86" w:rsidP="007C3E06">
            <w:pPr>
              <w:pStyle w:val="ListParagraph"/>
              <w:numPr>
                <w:ilvl w:val="0"/>
                <w:numId w:val="30"/>
              </w:numPr>
              <w:rPr>
                <w:rFonts w:eastAsiaTheme="minorBidi" w:cstheme="minorHAnsi"/>
              </w:rPr>
            </w:pPr>
          </w:p>
        </w:tc>
        <w:tc>
          <w:tcPr>
            <w:tcW w:w="1134" w:type="dxa"/>
            <w:shd w:val="clear" w:color="auto" w:fill="D9D9D9" w:themeFill="background1" w:themeFillShade="D9"/>
          </w:tcPr>
          <w:p w14:paraId="7BDFDEDC" w14:textId="023BFEFD" w:rsidR="00F82C86" w:rsidRPr="007C3E06" w:rsidRDefault="00F82C86" w:rsidP="007C3E06">
            <w:pPr>
              <w:pStyle w:val="ListParagraph"/>
              <w:numPr>
                <w:ilvl w:val="0"/>
                <w:numId w:val="30"/>
              </w:numPr>
              <w:rPr>
                <w:rFonts w:eastAsiaTheme="minorBidi" w:cstheme="minorHAnsi"/>
              </w:rPr>
            </w:pPr>
          </w:p>
        </w:tc>
      </w:tr>
      <w:tr w:rsidR="00F82C86" w:rsidRPr="00DE51CB" w14:paraId="537C9DF5" w14:textId="77777777" w:rsidTr="00F66C66">
        <w:tc>
          <w:tcPr>
            <w:tcW w:w="6521" w:type="dxa"/>
            <w:shd w:val="clear" w:color="auto" w:fill="BDD6EE" w:themeFill="accent1" w:themeFillTint="66"/>
            <w:vAlign w:val="center"/>
          </w:tcPr>
          <w:p w14:paraId="76989658" w14:textId="77777777" w:rsidR="00F82C86" w:rsidRPr="00DE51CB" w:rsidRDefault="280CF157" w:rsidP="6E7FC0EC">
            <w:pPr>
              <w:rPr>
                <w:rFonts w:eastAsiaTheme="minorBidi" w:cstheme="minorHAnsi"/>
              </w:rPr>
            </w:pPr>
            <w:r w:rsidRPr="00DE51CB">
              <w:rPr>
                <w:rFonts w:eastAsiaTheme="minorBidi" w:cstheme="minorHAnsi"/>
              </w:rPr>
              <w:t>Communication, community engagement and common purpose</w:t>
            </w:r>
          </w:p>
        </w:tc>
        <w:tc>
          <w:tcPr>
            <w:tcW w:w="1134" w:type="dxa"/>
            <w:shd w:val="clear" w:color="auto" w:fill="D9D9D9" w:themeFill="background1" w:themeFillShade="D9"/>
          </w:tcPr>
          <w:p w14:paraId="56CCB297" w14:textId="4E02E2F8" w:rsidR="00F82C86" w:rsidRPr="007C3E06" w:rsidRDefault="00F82C86" w:rsidP="007C3E06">
            <w:pPr>
              <w:pStyle w:val="ListParagraph"/>
              <w:numPr>
                <w:ilvl w:val="0"/>
                <w:numId w:val="30"/>
              </w:numPr>
              <w:rPr>
                <w:rFonts w:eastAsiaTheme="minorBidi" w:cstheme="minorHAnsi"/>
              </w:rPr>
            </w:pPr>
          </w:p>
        </w:tc>
        <w:tc>
          <w:tcPr>
            <w:tcW w:w="1134" w:type="dxa"/>
            <w:shd w:val="clear" w:color="auto" w:fill="D9D9D9" w:themeFill="background1" w:themeFillShade="D9"/>
          </w:tcPr>
          <w:p w14:paraId="05EC382E" w14:textId="24784F86" w:rsidR="00F82C86" w:rsidRPr="007C3E06" w:rsidRDefault="00F82C86" w:rsidP="007C3E06">
            <w:pPr>
              <w:pStyle w:val="ListParagraph"/>
              <w:numPr>
                <w:ilvl w:val="0"/>
                <w:numId w:val="30"/>
              </w:numPr>
              <w:rPr>
                <w:rFonts w:eastAsiaTheme="minorBidi" w:cstheme="minorHAnsi"/>
              </w:rPr>
            </w:pPr>
          </w:p>
        </w:tc>
      </w:tr>
      <w:tr w:rsidR="00F82C86" w:rsidRPr="00DE51CB" w14:paraId="667984CE" w14:textId="77777777" w:rsidTr="00F66C66">
        <w:trPr>
          <w:trHeight w:val="187"/>
        </w:trPr>
        <w:tc>
          <w:tcPr>
            <w:tcW w:w="6521" w:type="dxa"/>
            <w:shd w:val="clear" w:color="auto" w:fill="BDD6EE" w:themeFill="accent1" w:themeFillTint="66"/>
            <w:vAlign w:val="center"/>
          </w:tcPr>
          <w:p w14:paraId="6EC49977" w14:textId="77777777" w:rsidR="00F82C86" w:rsidRPr="00DE51CB" w:rsidRDefault="280CF157" w:rsidP="6E7FC0EC">
            <w:pPr>
              <w:rPr>
                <w:rFonts w:eastAsiaTheme="minorBidi" w:cstheme="minorHAnsi"/>
              </w:rPr>
            </w:pPr>
            <w:r w:rsidRPr="00DE51CB">
              <w:rPr>
                <w:rFonts w:eastAsiaTheme="minorBidi" w:cstheme="minorHAnsi"/>
              </w:rPr>
              <w:t>Vision, leadership and governance</w:t>
            </w:r>
          </w:p>
        </w:tc>
        <w:tc>
          <w:tcPr>
            <w:tcW w:w="1134" w:type="dxa"/>
            <w:shd w:val="clear" w:color="auto" w:fill="D9D9D9" w:themeFill="background1" w:themeFillShade="D9"/>
          </w:tcPr>
          <w:p w14:paraId="074065CA" w14:textId="021D5D17" w:rsidR="00F82C86" w:rsidRPr="007C3E06" w:rsidRDefault="00F82C86" w:rsidP="007C3E06">
            <w:pPr>
              <w:pStyle w:val="ListParagraph"/>
              <w:numPr>
                <w:ilvl w:val="0"/>
                <w:numId w:val="30"/>
              </w:numPr>
              <w:rPr>
                <w:rFonts w:eastAsiaTheme="minorBidi" w:cstheme="minorHAnsi"/>
              </w:rPr>
            </w:pPr>
          </w:p>
        </w:tc>
        <w:tc>
          <w:tcPr>
            <w:tcW w:w="1134" w:type="dxa"/>
            <w:shd w:val="clear" w:color="auto" w:fill="D9D9D9" w:themeFill="background1" w:themeFillShade="D9"/>
          </w:tcPr>
          <w:p w14:paraId="4C8DBE17" w14:textId="721BA8E9" w:rsidR="00F82C86" w:rsidRPr="007C3E06" w:rsidRDefault="00F82C86" w:rsidP="007C3E06">
            <w:pPr>
              <w:pStyle w:val="ListParagraph"/>
              <w:numPr>
                <w:ilvl w:val="0"/>
                <w:numId w:val="30"/>
              </w:numPr>
              <w:rPr>
                <w:rFonts w:eastAsiaTheme="minorBidi" w:cstheme="minorHAnsi"/>
              </w:rPr>
            </w:pPr>
          </w:p>
        </w:tc>
      </w:tr>
      <w:tr w:rsidR="00F82C86" w:rsidRPr="00DE51CB" w14:paraId="05F61D9D" w14:textId="77777777" w:rsidTr="00F66C66">
        <w:trPr>
          <w:trHeight w:val="277"/>
        </w:trPr>
        <w:tc>
          <w:tcPr>
            <w:tcW w:w="6521" w:type="dxa"/>
            <w:shd w:val="clear" w:color="auto" w:fill="BDD6EE" w:themeFill="accent1" w:themeFillTint="66"/>
            <w:vAlign w:val="center"/>
          </w:tcPr>
          <w:p w14:paraId="5EE8C04E" w14:textId="77777777" w:rsidR="00F82C86" w:rsidRPr="00DE51CB" w:rsidRDefault="280CF157" w:rsidP="6E7FC0EC">
            <w:pPr>
              <w:rPr>
                <w:rFonts w:eastAsiaTheme="minorBidi" w:cstheme="minorHAnsi"/>
              </w:rPr>
            </w:pPr>
            <w:r w:rsidRPr="00DE51CB">
              <w:rPr>
                <w:rFonts w:eastAsiaTheme="minorBidi" w:cstheme="minorHAnsi"/>
              </w:rPr>
              <w:t>Professional development</w:t>
            </w:r>
          </w:p>
        </w:tc>
        <w:tc>
          <w:tcPr>
            <w:tcW w:w="1134" w:type="dxa"/>
            <w:shd w:val="clear" w:color="auto" w:fill="D9D9D9" w:themeFill="background1" w:themeFillShade="D9"/>
          </w:tcPr>
          <w:p w14:paraId="222658A3" w14:textId="3D9EA943" w:rsidR="00F82C86" w:rsidRPr="007C3E06" w:rsidRDefault="00F82C86" w:rsidP="007C3E06">
            <w:pPr>
              <w:pStyle w:val="ListParagraph"/>
              <w:numPr>
                <w:ilvl w:val="0"/>
                <w:numId w:val="30"/>
              </w:numPr>
              <w:rPr>
                <w:rFonts w:eastAsiaTheme="minorBidi" w:cstheme="minorHAnsi"/>
              </w:rPr>
            </w:pPr>
          </w:p>
        </w:tc>
        <w:tc>
          <w:tcPr>
            <w:tcW w:w="1134" w:type="dxa"/>
            <w:shd w:val="clear" w:color="auto" w:fill="D9D9D9" w:themeFill="background1" w:themeFillShade="D9"/>
          </w:tcPr>
          <w:p w14:paraId="34233910" w14:textId="7BF442FE" w:rsidR="00F82C86" w:rsidRPr="007C3E06" w:rsidRDefault="00F82C86" w:rsidP="007C3E06">
            <w:pPr>
              <w:pStyle w:val="ListParagraph"/>
              <w:numPr>
                <w:ilvl w:val="0"/>
                <w:numId w:val="30"/>
              </w:numPr>
              <w:rPr>
                <w:rFonts w:eastAsiaTheme="minorBidi" w:cstheme="minorHAnsi"/>
              </w:rPr>
            </w:pPr>
          </w:p>
        </w:tc>
      </w:tr>
      <w:tr w:rsidR="00F82C86" w:rsidRPr="00DE51CB" w14:paraId="53E65105" w14:textId="77777777" w:rsidTr="00F66C66">
        <w:tc>
          <w:tcPr>
            <w:tcW w:w="6521" w:type="dxa"/>
            <w:shd w:val="clear" w:color="auto" w:fill="BDD6EE" w:themeFill="accent1" w:themeFillTint="66"/>
            <w:vAlign w:val="center"/>
          </w:tcPr>
          <w:p w14:paraId="4DDAB486" w14:textId="77777777" w:rsidR="00F82C86" w:rsidRPr="00DE51CB" w:rsidRDefault="280CF157" w:rsidP="6E7FC0EC">
            <w:pPr>
              <w:rPr>
                <w:rFonts w:eastAsiaTheme="minorBidi" w:cstheme="minorHAnsi"/>
              </w:rPr>
            </w:pPr>
            <w:r w:rsidRPr="00DE51CB">
              <w:rPr>
                <w:rFonts w:eastAsiaTheme="minorBidi" w:cstheme="minorHAnsi"/>
              </w:rPr>
              <w:t>Targeting of services and impact assessment</w:t>
            </w:r>
          </w:p>
        </w:tc>
        <w:tc>
          <w:tcPr>
            <w:tcW w:w="1134" w:type="dxa"/>
            <w:shd w:val="clear" w:color="auto" w:fill="D9D9D9" w:themeFill="background1" w:themeFillShade="D9"/>
          </w:tcPr>
          <w:p w14:paraId="5A4C6420" w14:textId="01B296EC" w:rsidR="00F82C86" w:rsidRPr="007C3E06" w:rsidRDefault="00F82C86" w:rsidP="007C3E06">
            <w:pPr>
              <w:pStyle w:val="ListParagraph"/>
              <w:numPr>
                <w:ilvl w:val="0"/>
                <w:numId w:val="30"/>
              </w:numPr>
              <w:rPr>
                <w:rFonts w:eastAsiaTheme="minorBidi" w:cstheme="minorHAnsi"/>
              </w:rPr>
            </w:pPr>
          </w:p>
        </w:tc>
        <w:tc>
          <w:tcPr>
            <w:tcW w:w="1134" w:type="dxa"/>
            <w:shd w:val="clear" w:color="auto" w:fill="FFFFFF" w:themeFill="background1"/>
          </w:tcPr>
          <w:p w14:paraId="3FAA0B99" w14:textId="77777777" w:rsidR="00F82C86" w:rsidRPr="00DE51CB" w:rsidRDefault="00F82C86" w:rsidP="0020401A">
            <w:pPr>
              <w:jc w:val="center"/>
              <w:rPr>
                <w:rFonts w:cstheme="minorHAnsi"/>
              </w:rPr>
            </w:pPr>
          </w:p>
        </w:tc>
      </w:tr>
      <w:tr w:rsidR="00F82C86" w:rsidRPr="00DE51CB" w14:paraId="3F37B812" w14:textId="77777777" w:rsidTr="00F66C66">
        <w:trPr>
          <w:trHeight w:val="199"/>
        </w:trPr>
        <w:tc>
          <w:tcPr>
            <w:tcW w:w="6521" w:type="dxa"/>
            <w:shd w:val="clear" w:color="auto" w:fill="BDD6EE" w:themeFill="accent1" w:themeFillTint="66"/>
            <w:vAlign w:val="center"/>
          </w:tcPr>
          <w:p w14:paraId="45BF00EC" w14:textId="77777777" w:rsidR="00F82C86" w:rsidRPr="00DE51CB" w:rsidRDefault="280CF157" w:rsidP="6E7FC0EC">
            <w:pPr>
              <w:rPr>
                <w:rFonts w:eastAsiaTheme="minorBidi" w:cstheme="minorHAnsi"/>
              </w:rPr>
            </w:pPr>
            <w:r w:rsidRPr="00DE51CB">
              <w:rPr>
                <w:rFonts w:eastAsiaTheme="minorBidi" w:cstheme="minorHAnsi"/>
              </w:rPr>
              <w:t>Service design</w:t>
            </w:r>
          </w:p>
        </w:tc>
        <w:tc>
          <w:tcPr>
            <w:tcW w:w="1134" w:type="dxa"/>
            <w:shd w:val="clear" w:color="auto" w:fill="D9D9D9" w:themeFill="background1" w:themeFillShade="D9"/>
          </w:tcPr>
          <w:p w14:paraId="4B9346A2" w14:textId="41317F6C" w:rsidR="00F82C86" w:rsidRPr="007C3E06" w:rsidRDefault="00F82C86" w:rsidP="007C3E06">
            <w:pPr>
              <w:pStyle w:val="ListParagraph"/>
              <w:numPr>
                <w:ilvl w:val="0"/>
                <w:numId w:val="30"/>
              </w:numPr>
              <w:rPr>
                <w:rFonts w:eastAsiaTheme="minorBidi" w:cstheme="minorHAnsi"/>
              </w:rPr>
            </w:pPr>
          </w:p>
        </w:tc>
        <w:tc>
          <w:tcPr>
            <w:tcW w:w="1134" w:type="dxa"/>
            <w:shd w:val="clear" w:color="auto" w:fill="D9D9D9" w:themeFill="background1" w:themeFillShade="D9"/>
          </w:tcPr>
          <w:p w14:paraId="6C099A14" w14:textId="239484CB" w:rsidR="00F82C86" w:rsidRPr="007C3E06" w:rsidRDefault="00F82C86" w:rsidP="007C3E06">
            <w:pPr>
              <w:pStyle w:val="ListParagraph"/>
              <w:numPr>
                <w:ilvl w:val="0"/>
                <w:numId w:val="30"/>
              </w:numPr>
              <w:rPr>
                <w:rFonts w:eastAsiaTheme="minorBidi" w:cstheme="minorHAnsi"/>
              </w:rPr>
            </w:pPr>
          </w:p>
        </w:tc>
      </w:tr>
      <w:tr w:rsidR="00F82C86" w:rsidRPr="00DE51CB" w14:paraId="5026D100" w14:textId="77777777" w:rsidTr="00F66C66">
        <w:tc>
          <w:tcPr>
            <w:tcW w:w="6521" w:type="dxa"/>
            <w:shd w:val="clear" w:color="auto" w:fill="BDD6EE" w:themeFill="accent1" w:themeFillTint="66"/>
            <w:vAlign w:val="center"/>
          </w:tcPr>
          <w:p w14:paraId="579D650D" w14:textId="2A3A586D" w:rsidR="00F82C86" w:rsidRPr="00DE51CB" w:rsidRDefault="280CF157" w:rsidP="6E7FC0EC">
            <w:pPr>
              <w:rPr>
                <w:rFonts w:eastAsiaTheme="minorBidi" w:cstheme="minorHAnsi"/>
              </w:rPr>
            </w:pPr>
            <w:r w:rsidRPr="00DE51CB">
              <w:rPr>
                <w:rFonts w:eastAsiaTheme="minorBidi" w:cstheme="minorHAnsi"/>
              </w:rPr>
              <w:t>Partnership working, organisational culture and trust</w:t>
            </w:r>
          </w:p>
        </w:tc>
        <w:tc>
          <w:tcPr>
            <w:tcW w:w="1134" w:type="dxa"/>
            <w:shd w:val="clear" w:color="auto" w:fill="D9D9D9" w:themeFill="background1" w:themeFillShade="D9"/>
          </w:tcPr>
          <w:p w14:paraId="4C3A8DBF" w14:textId="2C127F1D" w:rsidR="00F82C86" w:rsidRPr="007C3E06" w:rsidRDefault="00F82C86" w:rsidP="007C3E06">
            <w:pPr>
              <w:pStyle w:val="ListParagraph"/>
              <w:numPr>
                <w:ilvl w:val="0"/>
                <w:numId w:val="30"/>
              </w:numPr>
              <w:rPr>
                <w:rFonts w:eastAsiaTheme="minorBidi" w:cstheme="minorHAnsi"/>
              </w:rPr>
            </w:pPr>
          </w:p>
        </w:tc>
        <w:tc>
          <w:tcPr>
            <w:tcW w:w="1134" w:type="dxa"/>
            <w:shd w:val="clear" w:color="auto" w:fill="D9D9D9" w:themeFill="background1" w:themeFillShade="D9"/>
          </w:tcPr>
          <w:p w14:paraId="7D5CB30C" w14:textId="79EA1920" w:rsidR="00F82C86" w:rsidRPr="007C3E06" w:rsidRDefault="00F82C86" w:rsidP="007C3E06">
            <w:pPr>
              <w:pStyle w:val="ListParagraph"/>
              <w:numPr>
                <w:ilvl w:val="0"/>
                <w:numId w:val="30"/>
              </w:numPr>
              <w:rPr>
                <w:rFonts w:eastAsiaTheme="minorBidi" w:cstheme="minorHAnsi"/>
              </w:rPr>
            </w:pPr>
          </w:p>
        </w:tc>
      </w:tr>
    </w:tbl>
    <w:p w14:paraId="276673D2" w14:textId="181C87E5" w:rsidR="00CD0013" w:rsidRDefault="00F66C66" w:rsidP="00CD0013">
      <w:r>
        <w:t>Ta</w:t>
      </w:r>
      <w:r w:rsidR="007C3E06" w:rsidRPr="007C3E06">
        <w:t>ble one</w:t>
      </w:r>
      <w:r w:rsidR="00C90C2D">
        <w:t xml:space="preserve">: </w:t>
      </w:r>
      <w:r w:rsidR="007C3E06" w:rsidRPr="00DE51CB">
        <w:sym w:font="Wingdings" w:char="F0FC"/>
      </w:r>
      <w:r w:rsidR="280CF157" w:rsidRPr="007C3E06">
        <w:t xml:space="preserve"> = mentioned as an enabler and/or barrier to information sharing by wor</w:t>
      </w:r>
      <w:r w:rsidR="007C3E06">
        <w:t>kshop participants in exercise two</w:t>
      </w:r>
      <w:r w:rsidR="00D020FA">
        <w:t>.  See Appendix C</w:t>
      </w:r>
      <w:r w:rsidR="280CF157" w:rsidRPr="007C3E06">
        <w:t xml:space="preserve"> for feedback in full.</w:t>
      </w:r>
    </w:p>
    <w:p w14:paraId="2894636B" w14:textId="77777777" w:rsidR="00F66C66" w:rsidRDefault="00F66C66" w:rsidP="00CD0013">
      <w:pPr>
        <w:rPr>
          <w:lang w:eastAsia="en-GB"/>
        </w:rPr>
      </w:pPr>
    </w:p>
    <w:p w14:paraId="4F9DD74D" w14:textId="77777777" w:rsidR="00F66C66" w:rsidRDefault="00F66C66" w:rsidP="00CD0013">
      <w:pPr>
        <w:rPr>
          <w:lang w:eastAsia="en-GB"/>
        </w:rPr>
      </w:pPr>
    </w:p>
    <w:p w14:paraId="34DD9B34" w14:textId="77777777" w:rsidR="00F66C66" w:rsidRDefault="00F66C66" w:rsidP="00CD0013">
      <w:pPr>
        <w:rPr>
          <w:lang w:eastAsia="en-GB"/>
        </w:rPr>
      </w:pPr>
    </w:p>
    <w:p w14:paraId="60343431" w14:textId="77777777" w:rsidR="00F66C66" w:rsidRDefault="00F66C66" w:rsidP="00CD0013">
      <w:pPr>
        <w:rPr>
          <w:lang w:eastAsia="en-GB"/>
        </w:rPr>
      </w:pPr>
    </w:p>
    <w:p w14:paraId="1ABEF331" w14:textId="77777777" w:rsidR="00F66C66" w:rsidRDefault="00F66C66" w:rsidP="00CD0013">
      <w:pPr>
        <w:rPr>
          <w:lang w:eastAsia="en-GB"/>
        </w:rPr>
      </w:pPr>
    </w:p>
    <w:p w14:paraId="11CF758D" w14:textId="77777777" w:rsidR="00F66C66" w:rsidRDefault="00F66C66" w:rsidP="00CD0013">
      <w:pPr>
        <w:rPr>
          <w:lang w:eastAsia="en-GB"/>
        </w:rPr>
      </w:pPr>
    </w:p>
    <w:p w14:paraId="2CC8FE5D" w14:textId="77777777" w:rsidR="00F66C66" w:rsidRDefault="00F66C66" w:rsidP="00CD0013">
      <w:pPr>
        <w:rPr>
          <w:lang w:eastAsia="en-GB"/>
        </w:rPr>
      </w:pPr>
    </w:p>
    <w:p w14:paraId="7DAA0B22" w14:textId="1682A38C" w:rsidR="00F741D2" w:rsidRDefault="280CF157" w:rsidP="00CD0013">
      <w:pPr>
        <w:rPr>
          <w:lang w:eastAsia="en-GB"/>
        </w:rPr>
      </w:pPr>
      <w:r w:rsidRPr="00DE51CB">
        <w:rPr>
          <w:lang w:eastAsia="en-GB"/>
        </w:rPr>
        <w:lastRenderedPageBreak/>
        <w:t>Further e</w:t>
      </w:r>
      <w:r w:rsidR="007C3E06">
        <w:rPr>
          <w:lang w:eastAsia="en-GB"/>
        </w:rPr>
        <w:t>xploration of these themes, in exercises three and four</w:t>
      </w:r>
      <w:r w:rsidRPr="00DE51CB">
        <w:rPr>
          <w:lang w:eastAsia="en-GB"/>
        </w:rPr>
        <w:t>, showed which barriers and enablers were impacting on information sharing within the context of the following three specific DWP work areas.</w:t>
      </w:r>
    </w:p>
    <w:p w14:paraId="30D7433F" w14:textId="7C966CD6" w:rsidR="00C90C2D" w:rsidRDefault="00C90C2D" w:rsidP="280CF157">
      <w:pPr>
        <w:spacing w:after="0" w:line="240" w:lineRule="auto"/>
        <w:textAlignment w:val="center"/>
        <w:rPr>
          <w:rFonts w:eastAsiaTheme="minorEastAsia" w:cstheme="minorHAnsi"/>
          <w:lang w:eastAsia="en-GB"/>
        </w:rPr>
      </w:pPr>
    </w:p>
    <w:p w14:paraId="31DA5417" w14:textId="20E1B7A5" w:rsidR="00C90C2D" w:rsidRPr="00C90C2D" w:rsidRDefault="00C90C2D" w:rsidP="00CD0013">
      <w:pPr>
        <w:pStyle w:val="Heading2"/>
        <w:rPr>
          <w:rFonts w:asciiTheme="minorHAnsi" w:eastAsiaTheme="minorEastAsia" w:hAnsiTheme="minorHAnsi"/>
          <w:sz w:val="22"/>
          <w:szCs w:val="22"/>
          <w:lang w:eastAsia="en-GB"/>
        </w:rPr>
      </w:pPr>
      <w:r w:rsidRPr="00C90C2D">
        <w:rPr>
          <w:rFonts w:eastAsiaTheme="minorEastAsia"/>
          <w:lang w:eastAsia="en-GB"/>
        </w:rPr>
        <w:t>Table two:</w:t>
      </w:r>
    </w:p>
    <w:p w14:paraId="701BB58D" w14:textId="77777777" w:rsidR="00F741D2" w:rsidRPr="00DE51CB" w:rsidRDefault="00F741D2" w:rsidP="00F741D2">
      <w:pPr>
        <w:spacing w:after="0" w:line="240" w:lineRule="auto"/>
        <w:textAlignment w:val="center"/>
        <w:rPr>
          <w:rFonts w:eastAsiaTheme="minorEastAsia" w:cstheme="minorHAnsi"/>
          <w:lang w:eastAsia="en-GB"/>
        </w:rPr>
      </w:pPr>
    </w:p>
    <w:tbl>
      <w:tblPr>
        <w:tblStyle w:val="TableGrid"/>
        <w:tblW w:w="9639" w:type="dxa"/>
        <w:tblInd w:w="-5" w:type="dxa"/>
        <w:tblLayout w:type="fixed"/>
        <w:tblLook w:val="04A0" w:firstRow="1" w:lastRow="0" w:firstColumn="1" w:lastColumn="0" w:noHBand="0" w:noVBand="1"/>
      </w:tblPr>
      <w:tblGrid>
        <w:gridCol w:w="3402"/>
        <w:gridCol w:w="1985"/>
        <w:gridCol w:w="2126"/>
        <w:gridCol w:w="2126"/>
      </w:tblGrid>
      <w:tr w:rsidR="00F82C86" w:rsidRPr="00DE51CB" w14:paraId="3C5944FF" w14:textId="77777777" w:rsidTr="00C90C2D">
        <w:tc>
          <w:tcPr>
            <w:tcW w:w="3402" w:type="dxa"/>
            <w:tcBorders>
              <w:bottom w:val="nil"/>
            </w:tcBorders>
            <w:shd w:val="clear" w:color="auto" w:fill="BDD6EE" w:themeFill="accent1" w:themeFillTint="66"/>
            <w:vAlign w:val="bottom"/>
          </w:tcPr>
          <w:p w14:paraId="59DD7682" w14:textId="3145C0A9" w:rsidR="00F82C86" w:rsidRPr="00DE51CB" w:rsidRDefault="00F82C86" w:rsidP="00345D93">
            <w:pPr>
              <w:rPr>
                <w:rFonts w:eastAsiaTheme="minorEastAsia" w:cstheme="minorHAnsi"/>
                <w:b/>
                <w:bCs/>
              </w:rPr>
            </w:pPr>
          </w:p>
        </w:tc>
        <w:tc>
          <w:tcPr>
            <w:tcW w:w="6237" w:type="dxa"/>
            <w:gridSpan w:val="3"/>
            <w:shd w:val="clear" w:color="auto" w:fill="BDD6EE" w:themeFill="accent1" w:themeFillTint="66"/>
          </w:tcPr>
          <w:p w14:paraId="1336E76F" w14:textId="3115F4CE" w:rsidR="00F82C86" w:rsidRPr="00DE51CB" w:rsidRDefault="280CF157" w:rsidP="280CF157">
            <w:pPr>
              <w:jc w:val="center"/>
              <w:rPr>
                <w:rFonts w:eastAsiaTheme="minorBidi" w:cstheme="minorHAnsi"/>
                <w:b/>
                <w:bCs/>
              </w:rPr>
            </w:pPr>
            <w:r w:rsidRPr="00DE51CB">
              <w:rPr>
                <w:rFonts w:eastAsiaTheme="minorBidi" w:cstheme="minorHAnsi"/>
                <w:b/>
                <w:bCs/>
              </w:rPr>
              <w:t>DWP work areas</w:t>
            </w:r>
          </w:p>
        </w:tc>
      </w:tr>
      <w:tr w:rsidR="00F82C86" w:rsidRPr="00DE51CB" w14:paraId="1B7E9F95" w14:textId="77777777" w:rsidTr="00C90C2D">
        <w:tc>
          <w:tcPr>
            <w:tcW w:w="3402" w:type="dxa"/>
            <w:tcBorders>
              <w:top w:val="nil"/>
            </w:tcBorders>
            <w:shd w:val="clear" w:color="auto" w:fill="BDD6EE" w:themeFill="accent1" w:themeFillTint="66"/>
            <w:vAlign w:val="bottom"/>
            <w:hideMark/>
          </w:tcPr>
          <w:p w14:paraId="74055C2B" w14:textId="2D1A85B3" w:rsidR="00F82C86" w:rsidRPr="00DE51CB" w:rsidRDefault="280CF157" w:rsidP="280CF157">
            <w:pPr>
              <w:rPr>
                <w:rFonts w:eastAsiaTheme="minorBidi" w:cstheme="minorHAnsi"/>
                <w:b/>
                <w:bCs/>
              </w:rPr>
            </w:pPr>
            <w:r w:rsidRPr="00DE51CB">
              <w:rPr>
                <w:rFonts w:eastAsiaTheme="minorBidi" w:cstheme="minorHAnsi"/>
                <w:b/>
                <w:bCs/>
              </w:rPr>
              <w:t>Cultural themes</w:t>
            </w:r>
          </w:p>
        </w:tc>
        <w:tc>
          <w:tcPr>
            <w:tcW w:w="1985" w:type="dxa"/>
            <w:shd w:val="clear" w:color="auto" w:fill="BDD6EE" w:themeFill="accent1" w:themeFillTint="66"/>
          </w:tcPr>
          <w:p w14:paraId="0CADDB6E" w14:textId="3BCA08E1" w:rsidR="00F82C86" w:rsidRPr="00DE51CB" w:rsidRDefault="280CF157" w:rsidP="280CF157">
            <w:pPr>
              <w:jc w:val="center"/>
              <w:textAlignment w:val="center"/>
              <w:rPr>
                <w:rFonts w:eastAsiaTheme="minorBidi" w:cstheme="minorHAnsi"/>
                <w:lang w:eastAsia="en-GB"/>
              </w:rPr>
            </w:pPr>
            <w:r w:rsidRPr="00DE51CB">
              <w:rPr>
                <w:rFonts w:eastAsiaTheme="minorBidi" w:cstheme="minorHAnsi"/>
                <w:b/>
                <w:bCs/>
                <w:lang w:eastAsia="en-GB"/>
              </w:rPr>
              <w:t>People in receipt of out-of-work benefits</w:t>
            </w:r>
            <w:r w:rsidRPr="00DE51CB">
              <w:rPr>
                <w:rFonts w:eastAsiaTheme="minorBidi" w:cstheme="minorHAnsi"/>
                <w:lang w:eastAsia="en-GB"/>
              </w:rPr>
              <w:t>, who might benefit from improved support to treat or manage their health condition</w:t>
            </w:r>
          </w:p>
        </w:tc>
        <w:tc>
          <w:tcPr>
            <w:tcW w:w="2126" w:type="dxa"/>
            <w:shd w:val="clear" w:color="auto" w:fill="BDD6EE" w:themeFill="accent1" w:themeFillTint="66"/>
          </w:tcPr>
          <w:p w14:paraId="04C7BD8B" w14:textId="3B58F3B3" w:rsidR="00F82C86" w:rsidRPr="00DE51CB" w:rsidRDefault="280CF157" w:rsidP="280CF157">
            <w:pPr>
              <w:jc w:val="center"/>
              <w:textAlignment w:val="center"/>
              <w:rPr>
                <w:rFonts w:eastAsiaTheme="minorBidi" w:cstheme="minorHAnsi"/>
                <w:lang w:eastAsia="en-GB"/>
              </w:rPr>
            </w:pPr>
            <w:r w:rsidRPr="00DE51CB">
              <w:rPr>
                <w:rFonts w:eastAsiaTheme="minorBidi" w:cstheme="minorHAnsi"/>
                <w:b/>
                <w:bCs/>
                <w:lang w:eastAsia="en-GB"/>
              </w:rPr>
              <w:t>People living in families with particularly disadvantaged circumstances</w:t>
            </w:r>
            <w:r w:rsidRPr="00DE51CB">
              <w:rPr>
                <w:rFonts w:eastAsiaTheme="minorBidi" w:cstheme="minorHAnsi"/>
                <w:lang w:eastAsia="en-GB"/>
              </w:rPr>
              <w:t xml:space="preserve"> and very specific support needs requiring a case management approach</w:t>
            </w:r>
          </w:p>
        </w:tc>
        <w:tc>
          <w:tcPr>
            <w:tcW w:w="2126" w:type="dxa"/>
            <w:shd w:val="clear" w:color="auto" w:fill="BDD6EE" w:themeFill="accent1" w:themeFillTint="66"/>
          </w:tcPr>
          <w:p w14:paraId="7DBF21E8" w14:textId="452176AD" w:rsidR="00F82C86" w:rsidRPr="00DE51CB" w:rsidRDefault="280CF157" w:rsidP="280CF157">
            <w:pPr>
              <w:jc w:val="center"/>
              <w:textAlignment w:val="center"/>
              <w:rPr>
                <w:rFonts w:eastAsiaTheme="minorBidi" w:cstheme="minorHAnsi"/>
                <w:lang w:eastAsia="en-GB"/>
              </w:rPr>
            </w:pPr>
            <w:r w:rsidRPr="00DE51CB">
              <w:rPr>
                <w:rFonts w:eastAsiaTheme="minorBidi" w:cstheme="minorHAnsi"/>
                <w:b/>
                <w:bCs/>
                <w:lang w:eastAsia="en-GB"/>
              </w:rPr>
              <w:t>People in contact with health services but not welfare services</w:t>
            </w:r>
            <w:r w:rsidRPr="00DE51CB">
              <w:rPr>
                <w:rFonts w:eastAsiaTheme="minorBidi" w:cstheme="minorHAnsi"/>
                <w:lang w:eastAsia="en-GB"/>
              </w:rPr>
              <w:t>, who might benefit from tailored employment support advice through Jobcentre Plus</w:t>
            </w:r>
          </w:p>
        </w:tc>
      </w:tr>
      <w:tr w:rsidR="00F82C86" w:rsidRPr="00DE51CB" w14:paraId="4F6EBF87" w14:textId="77777777" w:rsidTr="00C90C2D">
        <w:tc>
          <w:tcPr>
            <w:tcW w:w="3402" w:type="dxa"/>
            <w:shd w:val="clear" w:color="auto" w:fill="BDD6EE" w:themeFill="accent1" w:themeFillTint="66"/>
            <w:vAlign w:val="center"/>
            <w:hideMark/>
          </w:tcPr>
          <w:p w14:paraId="63BCC9B4" w14:textId="573DE6C9" w:rsidR="00F82C86" w:rsidRPr="00DE51CB" w:rsidRDefault="280CF157" w:rsidP="280CF157">
            <w:pPr>
              <w:rPr>
                <w:rFonts w:eastAsiaTheme="minorBidi" w:cstheme="minorHAnsi"/>
              </w:rPr>
            </w:pPr>
            <w:r w:rsidRPr="00DE51CB">
              <w:rPr>
                <w:rFonts w:eastAsiaTheme="minorBidi" w:cstheme="minorHAnsi"/>
              </w:rPr>
              <w:t>Making informed decisions and managing risk</w:t>
            </w:r>
          </w:p>
        </w:tc>
        <w:tc>
          <w:tcPr>
            <w:tcW w:w="1985" w:type="dxa"/>
            <w:shd w:val="clear" w:color="auto" w:fill="D0CECE"/>
            <w:vAlign w:val="center"/>
          </w:tcPr>
          <w:p w14:paraId="5C92EF88" w14:textId="09B6510D" w:rsidR="00F82C86" w:rsidRPr="00DE51CB" w:rsidRDefault="00F82C86" w:rsidP="0033264C">
            <w:pPr>
              <w:jc w:val="center"/>
              <w:rPr>
                <w:rFonts w:cstheme="minorHAnsi"/>
              </w:rPr>
            </w:pPr>
            <w:r w:rsidRPr="00DE51CB">
              <w:rPr>
                <w:rFonts w:cstheme="minorHAnsi"/>
              </w:rPr>
              <w:sym w:font="Wingdings" w:char="F0FB"/>
            </w:r>
            <w:r w:rsidRPr="00DE51CB">
              <w:rPr>
                <w:rFonts w:cstheme="minorHAnsi"/>
              </w:rPr>
              <w:t xml:space="preserve"> </w:t>
            </w:r>
            <w:r w:rsidRPr="00DE51CB">
              <w:rPr>
                <w:rFonts w:cstheme="minorHAnsi"/>
              </w:rPr>
              <w:sym w:font="Wingdings" w:char="F0FC"/>
            </w:r>
          </w:p>
        </w:tc>
        <w:tc>
          <w:tcPr>
            <w:tcW w:w="2126" w:type="dxa"/>
            <w:shd w:val="clear" w:color="auto" w:fill="D0CECE"/>
            <w:vAlign w:val="center"/>
          </w:tcPr>
          <w:p w14:paraId="0BFC18E3" w14:textId="68F4A035" w:rsidR="00F82C86" w:rsidRPr="00DE51CB" w:rsidRDefault="00F82C86" w:rsidP="0033264C">
            <w:pPr>
              <w:jc w:val="center"/>
              <w:rPr>
                <w:rFonts w:cstheme="minorHAnsi"/>
              </w:rPr>
            </w:pPr>
            <w:r w:rsidRPr="00DE51CB">
              <w:rPr>
                <w:rFonts w:cstheme="minorHAnsi"/>
              </w:rPr>
              <w:sym w:font="Wingdings" w:char="F0FB"/>
            </w:r>
            <w:r w:rsidRPr="00DE51CB">
              <w:rPr>
                <w:rFonts w:cstheme="minorHAnsi"/>
              </w:rPr>
              <w:t xml:space="preserve"> </w:t>
            </w:r>
            <w:r w:rsidRPr="00DE51CB">
              <w:rPr>
                <w:rFonts w:cstheme="minorHAnsi"/>
              </w:rPr>
              <w:sym w:font="Wingdings" w:char="F0FC"/>
            </w:r>
          </w:p>
        </w:tc>
        <w:tc>
          <w:tcPr>
            <w:tcW w:w="2126" w:type="dxa"/>
            <w:shd w:val="clear" w:color="auto" w:fill="D0CECE"/>
            <w:vAlign w:val="center"/>
          </w:tcPr>
          <w:p w14:paraId="61538631" w14:textId="20684C4E" w:rsidR="00F82C86" w:rsidRPr="00DE51CB" w:rsidRDefault="00F82C86" w:rsidP="0033264C">
            <w:pPr>
              <w:jc w:val="center"/>
              <w:rPr>
                <w:rFonts w:cstheme="minorHAnsi"/>
              </w:rPr>
            </w:pPr>
            <w:r w:rsidRPr="00DE51CB">
              <w:rPr>
                <w:rFonts w:cstheme="minorHAnsi"/>
              </w:rPr>
              <w:sym w:font="Wingdings" w:char="F0FB"/>
            </w:r>
            <w:r w:rsidRPr="00DE51CB">
              <w:rPr>
                <w:rFonts w:cstheme="minorHAnsi"/>
              </w:rPr>
              <w:t xml:space="preserve"> </w:t>
            </w:r>
            <w:r w:rsidRPr="00DE51CB">
              <w:rPr>
                <w:rFonts w:cstheme="minorHAnsi"/>
              </w:rPr>
              <w:sym w:font="Wingdings" w:char="F0FC"/>
            </w:r>
          </w:p>
        </w:tc>
      </w:tr>
      <w:tr w:rsidR="00F82C86" w:rsidRPr="00DE51CB" w14:paraId="723936F0" w14:textId="77777777" w:rsidTr="00C90C2D">
        <w:tc>
          <w:tcPr>
            <w:tcW w:w="3402" w:type="dxa"/>
            <w:shd w:val="clear" w:color="auto" w:fill="BDD6EE" w:themeFill="accent1" w:themeFillTint="66"/>
            <w:vAlign w:val="center"/>
          </w:tcPr>
          <w:p w14:paraId="66B6860B" w14:textId="462D6AAB" w:rsidR="00F82C86" w:rsidRPr="00DE51CB" w:rsidRDefault="280CF157" w:rsidP="280CF157">
            <w:pPr>
              <w:rPr>
                <w:rFonts w:eastAsiaTheme="minorBidi" w:cstheme="minorHAnsi"/>
              </w:rPr>
            </w:pPr>
            <w:r w:rsidRPr="00DE51CB">
              <w:rPr>
                <w:rFonts w:eastAsiaTheme="minorBidi" w:cstheme="minorHAnsi"/>
              </w:rPr>
              <w:t>Communication, community engagement and common purpose</w:t>
            </w:r>
          </w:p>
        </w:tc>
        <w:tc>
          <w:tcPr>
            <w:tcW w:w="1985" w:type="dxa"/>
            <w:shd w:val="clear" w:color="auto" w:fill="D0CECE"/>
            <w:vAlign w:val="center"/>
          </w:tcPr>
          <w:p w14:paraId="03413256" w14:textId="741F3945" w:rsidR="00F82C86" w:rsidRPr="00DE51CB" w:rsidRDefault="00F82C86" w:rsidP="0033264C">
            <w:pPr>
              <w:jc w:val="center"/>
              <w:rPr>
                <w:rFonts w:cstheme="minorHAnsi"/>
              </w:rPr>
            </w:pPr>
            <w:r w:rsidRPr="00DE51CB">
              <w:rPr>
                <w:rFonts w:cstheme="minorHAnsi"/>
              </w:rPr>
              <w:sym w:font="Wingdings" w:char="F0FB"/>
            </w:r>
            <w:r w:rsidRPr="00DE51CB">
              <w:rPr>
                <w:rFonts w:cstheme="minorHAnsi"/>
              </w:rPr>
              <w:t xml:space="preserve"> </w:t>
            </w:r>
            <w:r w:rsidRPr="00DE51CB">
              <w:rPr>
                <w:rFonts w:cstheme="minorHAnsi"/>
              </w:rPr>
              <w:sym w:font="Wingdings" w:char="F0FC"/>
            </w:r>
          </w:p>
        </w:tc>
        <w:tc>
          <w:tcPr>
            <w:tcW w:w="2126" w:type="dxa"/>
            <w:shd w:val="clear" w:color="auto" w:fill="D0CECE"/>
            <w:vAlign w:val="center"/>
          </w:tcPr>
          <w:p w14:paraId="7734B4A7" w14:textId="6C602D22" w:rsidR="00F82C86" w:rsidRPr="00DE51CB" w:rsidRDefault="00F82C86" w:rsidP="0033264C">
            <w:pPr>
              <w:jc w:val="center"/>
              <w:rPr>
                <w:rFonts w:cstheme="minorHAnsi"/>
              </w:rPr>
            </w:pPr>
            <w:r w:rsidRPr="00DE51CB">
              <w:rPr>
                <w:rFonts w:cstheme="minorHAnsi"/>
              </w:rPr>
              <w:sym w:font="Wingdings" w:char="F0FB"/>
            </w:r>
            <w:r w:rsidRPr="00DE51CB">
              <w:rPr>
                <w:rFonts w:cstheme="minorHAnsi"/>
              </w:rPr>
              <w:t xml:space="preserve"> </w:t>
            </w:r>
            <w:r w:rsidRPr="00DE51CB">
              <w:rPr>
                <w:rFonts w:cstheme="minorHAnsi"/>
              </w:rPr>
              <w:sym w:font="Wingdings" w:char="F0FC"/>
            </w:r>
          </w:p>
        </w:tc>
        <w:tc>
          <w:tcPr>
            <w:tcW w:w="2126" w:type="dxa"/>
            <w:shd w:val="clear" w:color="auto" w:fill="D0CECE"/>
            <w:vAlign w:val="center"/>
          </w:tcPr>
          <w:p w14:paraId="3C035957" w14:textId="6361E589" w:rsidR="00F82C86" w:rsidRPr="00DE51CB" w:rsidRDefault="00F82C86" w:rsidP="0033264C">
            <w:pPr>
              <w:jc w:val="center"/>
              <w:rPr>
                <w:rFonts w:cstheme="minorHAnsi"/>
              </w:rPr>
            </w:pPr>
            <w:r w:rsidRPr="00DE51CB">
              <w:rPr>
                <w:rFonts w:cstheme="minorHAnsi"/>
              </w:rPr>
              <w:sym w:font="Wingdings" w:char="F0FB"/>
            </w:r>
            <w:r w:rsidR="00EF7BF6" w:rsidRPr="00DE51CB">
              <w:rPr>
                <w:rFonts w:cstheme="minorHAnsi"/>
              </w:rPr>
              <w:t xml:space="preserve"> </w:t>
            </w:r>
            <w:r w:rsidRPr="00DE51CB">
              <w:rPr>
                <w:rFonts w:cstheme="minorHAnsi"/>
              </w:rPr>
              <w:sym w:font="Wingdings" w:char="F0FC"/>
            </w:r>
          </w:p>
        </w:tc>
      </w:tr>
      <w:tr w:rsidR="00F82C86" w:rsidRPr="00DE51CB" w14:paraId="48290809" w14:textId="77777777" w:rsidTr="00C90C2D">
        <w:trPr>
          <w:trHeight w:val="552"/>
        </w:trPr>
        <w:tc>
          <w:tcPr>
            <w:tcW w:w="3402" w:type="dxa"/>
            <w:shd w:val="clear" w:color="auto" w:fill="BDD6EE" w:themeFill="accent1" w:themeFillTint="66"/>
            <w:vAlign w:val="center"/>
          </w:tcPr>
          <w:p w14:paraId="17FD99AA" w14:textId="4B373D74" w:rsidR="00F82C86" w:rsidRPr="00DE51CB" w:rsidRDefault="280CF157" w:rsidP="280CF157">
            <w:pPr>
              <w:rPr>
                <w:rFonts w:eastAsiaTheme="minorBidi" w:cstheme="minorHAnsi"/>
              </w:rPr>
            </w:pPr>
            <w:r w:rsidRPr="00DE51CB">
              <w:rPr>
                <w:rFonts w:eastAsiaTheme="minorBidi" w:cstheme="minorHAnsi"/>
              </w:rPr>
              <w:t>Vision, leadership and governance</w:t>
            </w:r>
          </w:p>
        </w:tc>
        <w:tc>
          <w:tcPr>
            <w:tcW w:w="1985" w:type="dxa"/>
            <w:shd w:val="clear" w:color="auto" w:fill="D0CECE"/>
            <w:vAlign w:val="center"/>
          </w:tcPr>
          <w:p w14:paraId="76FCC7A0" w14:textId="18EEB133" w:rsidR="00F82C86" w:rsidRPr="00DE51CB" w:rsidRDefault="00F82C86" w:rsidP="0033264C">
            <w:pPr>
              <w:jc w:val="center"/>
              <w:rPr>
                <w:rFonts w:cstheme="minorHAnsi"/>
              </w:rPr>
            </w:pPr>
            <w:r w:rsidRPr="00DE51CB">
              <w:rPr>
                <w:rFonts w:cstheme="minorHAnsi"/>
              </w:rPr>
              <w:sym w:font="Wingdings" w:char="F0FB"/>
            </w:r>
            <w:r w:rsidRPr="00DE51CB">
              <w:rPr>
                <w:rFonts w:cstheme="minorHAnsi"/>
              </w:rPr>
              <w:t xml:space="preserve"> </w:t>
            </w:r>
            <w:r w:rsidRPr="00DE51CB">
              <w:rPr>
                <w:rFonts w:cstheme="minorHAnsi"/>
              </w:rPr>
              <w:sym w:font="Wingdings" w:char="F0FC"/>
            </w:r>
          </w:p>
        </w:tc>
        <w:tc>
          <w:tcPr>
            <w:tcW w:w="2126" w:type="dxa"/>
            <w:shd w:val="clear" w:color="auto" w:fill="D0CECE"/>
            <w:vAlign w:val="center"/>
          </w:tcPr>
          <w:p w14:paraId="5A834028" w14:textId="2C58E138" w:rsidR="00F82C86" w:rsidRPr="00DE51CB" w:rsidRDefault="00F82C86" w:rsidP="0033264C">
            <w:pPr>
              <w:jc w:val="center"/>
              <w:rPr>
                <w:rFonts w:cstheme="minorHAnsi"/>
              </w:rPr>
            </w:pPr>
            <w:r w:rsidRPr="00DE51CB">
              <w:rPr>
                <w:rFonts w:cstheme="minorHAnsi"/>
              </w:rPr>
              <w:sym w:font="Wingdings" w:char="F0FB"/>
            </w:r>
          </w:p>
        </w:tc>
        <w:tc>
          <w:tcPr>
            <w:tcW w:w="2126" w:type="dxa"/>
            <w:shd w:val="clear" w:color="auto" w:fill="D0CECE"/>
            <w:vAlign w:val="center"/>
          </w:tcPr>
          <w:p w14:paraId="78412242" w14:textId="127165A2" w:rsidR="00F82C86" w:rsidRPr="00DE51CB" w:rsidRDefault="00F82C86" w:rsidP="0033264C">
            <w:pPr>
              <w:jc w:val="center"/>
              <w:rPr>
                <w:rFonts w:cstheme="minorHAnsi"/>
              </w:rPr>
            </w:pPr>
            <w:r w:rsidRPr="00DE51CB">
              <w:rPr>
                <w:rFonts w:cstheme="minorHAnsi"/>
              </w:rPr>
              <w:sym w:font="Wingdings" w:char="F0FC"/>
            </w:r>
          </w:p>
        </w:tc>
      </w:tr>
      <w:tr w:rsidR="00F82C86" w:rsidRPr="00DE51CB" w14:paraId="0D2993E0" w14:textId="77777777" w:rsidTr="00C90C2D">
        <w:trPr>
          <w:trHeight w:val="418"/>
        </w:trPr>
        <w:tc>
          <w:tcPr>
            <w:tcW w:w="3402" w:type="dxa"/>
            <w:shd w:val="clear" w:color="auto" w:fill="BDD6EE" w:themeFill="accent1" w:themeFillTint="66"/>
            <w:vAlign w:val="center"/>
          </w:tcPr>
          <w:p w14:paraId="69262D9D" w14:textId="26C3A4F3" w:rsidR="00F82C86" w:rsidRPr="00DE51CB" w:rsidRDefault="280CF157" w:rsidP="280CF157">
            <w:pPr>
              <w:rPr>
                <w:rFonts w:eastAsiaTheme="minorBidi" w:cstheme="minorHAnsi"/>
              </w:rPr>
            </w:pPr>
            <w:r w:rsidRPr="00DE51CB">
              <w:rPr>
                <w:rFonts w:eastAsiaTheme="minorBidi" w:cstheme="minorHAnsi"/>
              </w:rPr>
              <w:t>Professional development</w:t>
            </w:r>
          </w:p>
        </w:tc>
        <w:tc>
          <w:tcPr>
            <w:tcW w:w="1985" w:type="dxa"/>
            <w:vAlign w:val="center"/>
          </w:tcPr>
          <w:p w14:paraId="78B0D2E6" w14:textId="3C015BF2" w:rsidR="00F82C86" w:rsidRPr="00DE51CB" w:rsidRDefault="00F82C86" w:rsidP="0033264C">
            <w:pPr>
              <w:jc w:val="center"/>
              <w:rPr>
                <w:rFonts w:cstheme="minorHAnsi"/>
              </w:rPr>
            </w:pPr>
          </w:p>
        </w:tc>
        <w:tc>
          <w:tcPr>
            <w:tcW w:w="2126" w:type="dxa"/>
            <w:shd w:val="clear" w:color="auto" w:fill="D0CECE"/>
            <w:vAlign w:val="center"/>
          </w:tcPr>
          <w:p w14:paraId="3297ACDA" w14:textId="28DAB989" w:rsidR="00F82C86" w:rsidRPr="00DE51CB" w:rsidRDefault="00F82C86" w:rsidP="0033264C">
            <w:pPr>
              <w:jc w:val="center"/>
              <w:rPr>
                <w:rFonts w:cstheme="minorHAnsi"/>
              </w:rPr>
            </w:pPr>
            <w:r w:rsidRPr="00DE51CB">
              <w:rPr>
                <w:rFonts w:cstheme="minorHAnsi"/>
              </w:rPr>
              <w:sym w:font="Wingdings" w:char="F0FB"/>
            </w:r>
            <w:r w:rsidRPr="00DE51CB">
              <w:rPr>
                <w:rFonts w:cstheme="minorHAnsi"/>
              </w:rPr>
              <w:t xml:space="preserve"> </w:t>
            </w:r>
            <w:r w:rsidRPr="00DE51CB">
              <w:rPr>
                <w:rFonts w:cstheme="minorHAnsi"/>
              </w:rPr>
              <w:sym w:font="Wingdings" w:char="F0FC"/>
            </w:r>
          </w:p>
        </w:tc>
        <w:tc>
          <w:tcPr>
            <w:tcW w:w="2126" w:type="dxa"/>
            <w:shd w:val="clear" w:color="auto" w:fill="D0CECE"/>
            <w:vAlign w:val="center"/>
          </w:tcPr>
          <w:p w14:paraId="7FCF053A" w14:textId="1E852B24" w:rsidR="00F82C86" w:rsidRPr="00DE51CB" w:rsidRDefault="00F82C86" w:rsidP="0033264C">
            <w:pPr>
              <w:jc w:val="center"/>
              <w:rPr>
                <w:rFonts w:cstheme="minorHAnsi"/>
              </w:rPr>
            </w:pPr>
            <w:r w:rsidRPr="00DE51CB">
              <w:rPr>
                <w:rFonts w:cstheme="minorHAnsi"/>
              </w:rPr>
              <w:sym w:font="Wingdings" w:char="F0FB"/>
            </w:r>
          </w:p>
        </w:tc>
      </w:tr>
      <w:tr w:rsidR="00F82C86" w:rsidRPr="00DE51CB" w14:paraId="16D38678" w14:textId="77777777" w:rsidTr="00C90C2D">
        <w:tc>
          <w:tcPr>
            <w:tcW w:w="3402" w:type="dxa"/>
            <w:shd w:val="clear" w:color="auto" w:fill="BDD6EE" w:themeFill="accent1" w:themeFillTint="66"/>
            <w:vAlign w:val="center"/>
          </w:tcPr>
          <w:p w14:paraId="0F1AB67E" w14:textId="4DB07E53" w:rsidR="00F82C86" w:rsidRPr="00DE51CB" w:rsidRDefault="280CF157" w:rsidP="280CF157">
            <w:pPr>
              <w:rPr>
                <w:rFonts w:eastAsiaTheme="minorBidi" w:cstheme="minorHAnsi"/>
              </w:rPr>
            </w:pPr>
            <w:r w:rsidRPr="00DE51CB">
              <w:rPr>
                <w:rFonts w:eastAsiaTheme="minorBidi" w:cstheme="minorHAnsi"/>
              </w:rPr>
              <w:t>Targeting of services and impact assessment</w:t>
            </w:r>
          </w:p>
        </w:tc>
        <w:tc>
          <w:tcPr>
            <w:tcW w:w="1985" w:type="dxa"/>
            <w:shd w:val="clear" w:color="auto" w:fill="D0CECE"/>
            <w:vAlign w:val="center"/>
          </w:tcPr>
          <w:p w14:paraId="0ED7C982" w14:textId="626CBE19" w:rsidR="00F82C86" w:rsidRPr="00DE51CB" w:rsidRDefault="00F82C86" w:rsidP="0033264C">
            <w:pPr>
              <w:jc w:val="center"/>
              <w:rPr>
                <w:rFonts w:cstheme="minorHAnsi"/>
              </w:rPr>
            </w:pPr>
            <w:r w:rsidRPr="00DE51CB">
              <w:rPr>
                <w:rFonts w:cstheme="minorHAnsi"/>
              </w:rPr>
              <w:sym w:font="Wingdings" w:char="F0FB"/>
            </w:r>
          </w:p>
        </w:tc>
        <w:tc>
          <w:tcPr>
            <w:tcW w:w="2126" w:type="dxa"/>
            <w:shd w:val="clear" w:color="auto" w:fill="D0CECE"/>
            <w:vAlign w:val="center"/>
          </w:tcPr>
          <w:p w14:paraId="075A2984" w14:textId="6A0C7C15" w:rsidR="00F82C86" w:rsidRPr="00DE51CB" w:rsidRDefault="00F82C86" w:rsidP="0033264C">
            <w:pPr>
              <w:jc w:val="center"/>
              <w:rPr>
                <w:rFonts w:cstheme="minorHAnsi"/>
              </w:rPr>
            </w:pPr>
            <w:r w:rsidRPr="00DE51CB">
              <w:rPr>
                <w:rFonts w:cstheme="minorHAnsi"/>
              </w:rPr>
              <w:sym w:font="Wingdings" w:char="F0FC"/>
            </w:r>
          </w:p>
        </w:tc>
        <w:tc>
          <w:tcPr>
            <w:tcW w:w="2126" w:type="dxa"/>
            <w:shd w:val="clear" w:color="auto" w:fill="D0CECE"/>
            <w:vAlign w:val="center"/>
          </w:tcPr>
          <w:p w14:paraId="28F763A7" w14:textId="0727D81B" w:rsidR="00F82C86" w:rsidRPr="00DE51CB" w:rsidRDefault="00F82C86" w:rsidP="0033264C">
            <w:pPr>
              <w:jc w:val="center"/>
              <w:rPr>
                <w:rFonts w:cstheme="minorHAnsi"/>
              </w:rPr>
            </w:pPr>
            <w:r w:rsidRPr="00DE51CB">
              <w:rPr>
                <w:rFonts w:cstheme="minorHAnsi"/>
              </w:rPr>
              <w:sym w:font="Wingdings" w:char="F0FC"/>
            </w:r>
          </w:p>
        </w:tc>
      </w:tr>
      <w:tr w:rsidR="00F82C86" w:rsidRPr="00DE51CB" w14:paraId="0738092C" w14:textId="77777777" w:rsidTr="00C90C2D">
        <w:trPr>
          <w:trHeight w:val="333"/>
        </w:trPr>
        <w:tc>
          <w:tcPr>
            <w:tcW w:w="3402" w:type="dxa"/>
            <w:shd w:val="clear" w:color="auto" w:fill="BDD6EE" w:themeFill="accent1" w:themeFillTint="66"/>
            <w:vAlign w:val="center"/>
          </w:tcPr>
          <w:p w14:paraId="28A7C668" w14:textId="0C9ADAF6" w:rsidR="00F82C86" w:rsidRPr="00DE51CB" w:rsidRDefault="280CF157" w:rsidP="280CF157">
            <w:pPr>
              <w:rPr>
                <w:rFonts w:eastAsiaTheme="minorBidi" w:cstheme="minorHAnsi"/>
              </w:rPr>
            </w:pPr>
            <w:r w:rsidRPr="00DE51CB">
              <w:rPr>
                <w:rFonts w:eastAsiaTheme="minorBidi" w:cstheme="minorHAnsi"/>
              </w:rPr>
              <w:t>Service design</w:t>
            </w:r>
          </w:p>
        </w:tc>
        <w:tc>
          <w:tcPr>
            <w:tcW w:w="1985" w:type="dxa"/>
            <w:shd w:val="clear" w:color="auto" w:fill="D0CECE"/>
            <w:vAlign w:val="center"/>
          </w:tcPr>
          <w:p w14:paraId="47735814" w14:textId="4C741AAA" w:rsidR="00F82C86" w:rsidRPr="00DE51CB" w:rsidRDefault="00F82C86" w:rsidP="0033264C">
            <w:pPr>
              <w:jc w:val="center"/>
              <w:rPr>
                <w:rFonts w:cstheme="minorHAnsi"/>
              </w:rPr>
            </w:pPr>
            <w:r w:rsidRPr="00DE51CB">
              <w:rPr>
                <w:rFonts w:cstheme="minorHAnsi"/>
              </w:rPr>
              <w:sym w:font="Wingdings" w:char="F0FB"/>
            </w:r>
            <w:r w:rsidRPr="00DE51CB">
              <w:rPr>
                <w:rFonts w:cstheme="minorHAnsi"/>
              </w:rPr>
              <w:t xml:space="preserve"> </w:t>
            </w:r>
            <w:r w:rsidRPr="00DE51CB">
              <w:rPr>
                <w:rFonts w:cstheme="minorHAnsi"/>
              </w:rPr>
              <w:sym w:font="Wingdings" w:char="F0FC"/>
            </w:r>
          </w:p>
        </w:tc>
        <w:tc>
          <w:tcPr>
            <w:tcW w:w="2126" w:type="dxa"/>
            <w:shd w:val="clear" w:color="auto" w:fill="D0CECE"/>
            <w:vAlign w:val="center"/>
          </w:tcPr>
          <w:p w14:paraId="2F06C382" w14:textId="21131702" w:rsidR="00F82C86" w:rsidRPr="00DE51CB" w:rsidRDefault="00F82C86" w:rsidP="0033264C">
            <w:pPr>
              <w:jc w:val="center"/>
              <w:rPr>
                <w:rFonts w:cstheme="minorHAnsi"/>
              </w:rPr>
            </w:pPr>
            <w:r w:rsidRPr="00DE51CB">
              <w:rPr>
                <w:rFonts w:cstheme="minorHAnsi"/>
              </w:rPr>
              <w:sym w:font="Wingdings" w:char="F0FB"/>
            </w:r>
            <w:r w:rsidRPr="00DE51CB">
              <w:rPr>
                <w:rFonts w:cstheme="minorHAnsi"/>
              </w:rPr>
              <w:t xml:space="preserve"> </w:t>
            </w:r>
            <w:r w:rsidRPr="00DE51CB">
              <w:rPr>
                <w:rFonts w:cstheme="minorHAnsi"/>
              </w:rPr>
              <w:sym w:font="Wingdings" w:char="F0FC"/>
            </w:r>
          </w:p>
        </w:tc>
        <w:tc>
          <w:tcPr>
            <w:tcW w:w="2126" w:type="dxa"/>
            <w:shd w:val="clear" w:color="auto" w:fill="D0CECE"/>
            <w:vAlign w:val="center"/>
          </w:tcPr>
          <w:p w14:paraId="318711EB" w14:textId="6656F877" w:rsidR="00F82C86" w:rsidRPr="00DE51CB" w:rsidRDefault="00F82C86" w:rsidP="0033264C">
            <w:pPr>
              <w:jc w:val="center"/>
              <w:rPr>
                <w:rFonts w:cstheme="minorHAnsi"/>
              </w:rPr>
            </w:pPr>
            <w:r w:rsidRPr="00DE51CB">
              <w:rPr>
                <w:rFonts w:cstheme="minorHAnsi"/>
              </w:rPr>
              <w:sym w:font="Wingdings" w:char="F0FB"/>
            </w:r>
            <w:r w:rsidRPr="00DE51CB">
              <w:rPr>
                <w:rFonts w:cstheme="minorHAnsi"/>
              </w:rPr>
              <w:sym w:font="Wingdings" w:char="F0FC"/>
            </w:r>
          </w:p>
        </w:tc>
      </w:tr>
      <w:tr w:rsidR="00F82C86" w:rsidRPr="00DE51CB" w14:paraId="58BC77A8" w14:textId="77777777" w:rsidTr="00C90C2D">
        <w:tc>
          <w:tcPr>
            <w:tcW w:w="3402" w:type="dxa"/>
            <w:shd w:val="clear" w:color="auto" w:fill="BDD6EE" w:themeFill="accent1" w:themeFillTint="66"/>
            <w:vAlign w:val="center"/>
          </w:tcPr>
          <w:p w14:paraId="45125E92" w14:textId="0B7EEBD2" w:rsidR="00F82C86" w:rsidRPr="00DE51CB" w:rsidRDefault="280CF157" w:rsidP="280CF157">
            <w:pPr>
              <w:rPr>
                <w:rFonts w:eastAsiaTheme="minorBidi" w:cstheme="minorHAnsi"/>
              </w:rPr>
            </w:pPr>
            <w:r w:rsidRPr="00DE51CB">
              <w:rPr>
                <w:rFonts w:eastAsiaTheme="minorBidi" w:cstheme="minorHAnsi"/>
              </w:rPr>
              <w:t>Partnership working, organisational culture and trust</w:t>
            </w:r>
          </w:p>
        </w:tc>
        <w:tc>
          <w:tcPr>
            <w:tcW w:w="1985" w:type="dxa"/>
            <w:shd w:val="clear" w:color="auto" w:fill="D0CECE"/>
            <w:vAlign w:val="center"/>
          </w:tcPr>
          <w:p w14:paraId="6CC2F39C" w14:textId="5F0E585D" w:rsidR="00F82C86" w:rsidRPr="00DE51CB" w:rsidRDefault="00F82C86" w:rsidP="0033264C">
            <w:pPr>
              <w:jc w:val="center"/>
              <w:rPr>
                <w:rFonts w:cstheme="minorHAnsi"/>
              </w:rPr>
            </w:pPr>
            <w:r w:rsidRPr="00DE51CB">
              <w:rPr>
                <w:rFonts w:cstheme="minorHAnsi"/>
              </w:rPr>
              <w:sym w:font="Wingdings" w:char="F0FB"/>
            </w:r>
            <w:r w:rsidRPr="00DE51CB">
              <w:rPr>
                <w:rFonts w:cstheme="minorHAnsi"/>
              </w:rPr>
              <w:t xml:space="preserve"> </w:t>
            </w:r>
            <w:r w:rsidRPr="00DE51CB">
              <w:rPr>
                <w:rFonts w:cstheme="minorHAnsi"/>
              </w:rPr>
              <w:sym w:font="Wingdings" w:char="F0FC"/>
            </w:r>
          </w:p>
        </w:tc>
        <w:tc>
          <w:tcPr>
            <w:tcW w:w="2126" w:type="dxa"/>
            <w:shd w:val="clear" w:color="auto" w:fill="D0CECE"/>
            <w:vAlign w:val="center"/>
          </w:tcPr>
          <w:p w14:paraId="0E088915" w14:textId="55777D4F" w:rsidR="00F82C86" w:rsidRPr="00DE51CB" w:rsidRDefault="00F82C86" w:rsidP="0033264C">
            <w:pPr>
              <w:jc w:val="center"/>
              <w:rPr>
                <w:rFonts w:cstheme="minorHAnsi"/>
              </w:rPr>
            </w:pPr>
            <w:r w:rsidRPr="00DE51CB">
              <w:rPr>
                <w:rFonts w:cstheme="minorHAnsi"/>
              </w:rPr>
              <w:sym w:font="Wingdings" w:char="F0FB"/>
            </w:r>
            <w:r w:rsidRPr="00DE51CB">
              <w:rPr>
                <w:rFonts w:cstheme="minorHAnsi"/>
              </w:rPr>
              <w:t xml:space="preserve"> </w:t>
            </w:r>
            <w:r w:rsidRPr="00DE51CB">
              <w:rPr>
                <w:rFonts w:cstheme="minorHAnsi"/>
              </w:rPr>
              <w:sym w:font="Wingdings" w:char="F0FC"/>
            </w:r>
          </w:p>
        </w:tc>
        <w:tc>
          <w:tcPr>
            <w:tcW w:w="2126" w:type="dxa"/>
            <w:shd w:val="clear" w:color="auto" w:fill="D0CECE"/>
            <w:vAlign w:val="center"/>
          </w:tcPr>
          <w:p w14:paraId="787FA332" w14:textId="1EB6F126" w:rsidR="00F82C86" w:rsidRPr="00DE51CB" w:rsidRDefault="00F82C86" w:rsidP="0033264C">
            <w:pPr>
              <w:jc w:val="center"/>
              <w:rPr>
                <w:rFonts w:cstheme="minorHAnsi"/>
              </w:rPr>
            </w:pPr>
            <w:r w:rsidRPr="00DE51CB">
              <w:rPr>
                <w:rFonts w:cstheme="minorHAnsi"/>
              </w:rPr>
              <w:sym w:font="Wingdings" w:char="F0FB"/>
            </w:r>
          </w:p>
        </w:tc>
      </w:tr>
    </w:tbl>
    <w:p w14:paraId="730FD641" w14:textId="0796083C" w:rsidR="00F82C86" w:rsidRPr="00DE51CB" w:rsidRDefault="00C90C2D" w:rsidP="00CD0013">
      <w:r>
        <w:t>Table two:</w:t>
      </w:r>
      <w:r w:rsidR="00BC05D1" w:rsidRPr="00DE51CB">
        <w:t xml:space="preserve"> </w:t>
      </w:r>
      <w:r w:rsidR="0074603C" w:rsidRPr="00DE51CB">
        <w:sym w:font="Wingdings" w:char="F0FB"/>
      </w:r>
      <w:r w:rsidR="0074603C" w:rsidRPr="00DE51CB">
        <w:t>/</w:t>
      </w:r>
      <w:r w:rsidR="0074603C" w:rsidRPr="00DE51CB">
        <w:sym w:font="Wingdings" w:char="F0FC"/>
      </w:r>
      <w:r w:rsidR="00781B8F" w:rsidRPr="00DE51CB">
        <w:t xml:space="preserve">= </w:t>
      </w:r>
      <w:r w:rsidR="0081660E" w:rsidRPr="00DE51CB">
        <w:t xml:space="preserve">Cultural theme </w:t>
      </w:r>
      <w:r w:rsidR="00FC7C9B" w:rsidRPr="00DE51CB">
        <w:t>raised as a barrier</w:t>
      </w:r>
      <w:r w:rsidR="00724C56" w:rsidRPr="00DE51CB">
        <w:t xml:space="preserve"> </w:t>
      </w:r>
      <w:r w:rsidR="0074603C" w:rsidRPr="00DE51CB">
        <w:t>(</w:t>
      </w:r>
      <w:r w:rsidR="0074603C" w:rsidRPr="00DE51CB">
        <w:sym w:font="Wingdings" w:char="F0FB"/>
      </w:r>
      <w:r w:rsidR="0074603C" w:rsidRPr="00DE51CB">
        <w:t xml:space="preserve">) </w:t>
      </w:r>
      <w:r w:rsidR="00B11DFB" w:rsidRPr="00DE51CB">
        <w:t>and/</w:t>
      </w:r>
      <w:r w:rsidR="004361C9" w:rsidRPr="00DE51CB">
        <w:t xml:space="preserve">or </w:t>
      </w:r>
      <w:r w:rsidR="00FC7C9B" w:rsidRPr="00DE51CB">
        <w:t>enabler</w:t>
      </w:r>
      <w:r w:rsidR="00724C56" w:rsidRPr="00DE51CB">
        <w:t xml:space="preserve"> </w:t>
      </w:r>
      <w:r w:rsidR="0074603C" w:rsidRPr="00DE51CB">
        <w:t>(</w:t>
      </w:r>
      <w:r w:rsidR="0074603C" w:rsidRPr="00DE51CB">
        <w:sym w:font="Wingdings" w:char="F0FC"/>
      </w:r>
      <w:r w:rsidR="0074603C" w:rsidRPr="00DE51CB">
        <w:t>)</w:t>
      </w:r>
      <w:r w:rsidR="00F86C90" w:rsidRPr="00DE51CB">
        <w:t xml:space="preserve"> in relation </w:t>
      </w:r>
      <w:r w:rsidR="00B11DFB" w:rsidRPr="00DE51CB">
        <w:t>to that</w:t>
      </w:r>
      <w:r w:rsidR="00F86C90" w:rsidRPr="00DE51CB">
        <w:t xml:space="preserve"> DWP work </w:t>
      </w:r>
      <w:r w:rsidR="00F86C90" w:rsidRPr="00A0596F">
        <w:t>area</w:t>
      </w:r>
      <w:r w:rsidR="00D020FA">
        <w:t xml:space="preserve"> (see Appendix C</w:t>
      </w:r>
      <w:r w:rsidR="0081660E" w:rsidRPr="00A0596F">
        <w:t xml:space="preserve"> for f</w:t>
      </w:r>
      <w:r w:rsidR="00724C56" w:rsidRPr="00A0596F">
        <w:t xml:space="preserve">eedback </w:t>
      </w:r>
      <w:r w:rsidR="00BC05D1" w:rsidRPr="00A0596F">
        <w:t xml:space="preserve">in full </w:t>
      </w:r>
      <w:r w:rsidRPr="00A0596F">
        <w:t>from exercises three - barriers and exercise four</w:t>
      </w:r>
      <w:r w:rsidR="00724C56" w:rsidRPr="00A0596F">
        <w:t xml:space="preserve"> – </w:t>
      </w:r>
      <w:r w:rsidR="00A0596F" w:rsidRPr="00A0596F">
        <w:t>enablers</w:t>
      </w:r>
      <w:r w:rsidR="00781B8F" w:rsidRPr="00A0596F">
        <w:t>)</w:t>
      </w:r>
    </w:p>
    <w:p w14:paraId="5AD3D2E9" w14:textId="637AA4C4" w:rsidR="00047C5C" w:rsidRPr="00DE51CB" w:rsidRDefault="280CF157" w:rsidP="00CD0013">
      <w:pPr>
        <w:pStyle w:val="Heading1"/>
        <w:rPr>
          <w:rFonts w:eastAsiaTheme="minorEastAsia"/>
          <w:lang w:eastAsia="en-GB"/>
        </w:rPr>
      </w:pPr>
      <w:r w:rsidRPr="00DE51CB">
        <w:rPr>
          <w:rFonts w:eastAsiaTheme="minorEastAsia"/>
          <w:lang w:eastAsia="en-GB"/>
        </w:rPr>
        <w:t>Key information sharing challenges for further exploration</w:t>
      </w:r>
    </w:p>
    <w:p w14:paraId="60F38440" w14:textId="08E6ED86" w:rsidR="00CD6768" w:rsidRPr="00DE51CB" w:rsidRDefault="280CF157" w:rsidP="00CD0013">
      <w:pPr>
        <w:rPr>
          <w:lang w:eastAsia="en-GB"/>
        </w:rPr>
      </w:pPr>
      <w:r w:rsidRPr="00DE51CB">
        <w:rPr>
          <w:lang w:eastAsia="en-GB"/>
        </w:rPr>
        <w:t>Analysis of the detailed feedback from the launch event exercises, has also enabled the Centre to identify the following six key information sharing challenges which:</w:t>
      </w:r>
    </w:p>
    <w:p w14:paraId="14439469" w14:textId="7B94FC3E" w:rsidR="00CD6768" w:rsidRPr="00DE51CB" w:rsidRDefault="00C90C2D" w:rsidP="00CD0013">
      <w:pPr>
        <w:pStyle w:val="ListParagraph"/>
        <w:numPr>
          <w:ilvl w:val="0"/>
          <w:numId w:val="41"/>
        </w:numPr>
        <w:rPr>
          <w:lang w:eastAsia="en-GB"/>
        </w:rPr>
      </w:pPr>
      <w:r>
        <w:rPr>
          <w:lang w:eastAsia="en-GB"/>
        </w:rPr>
        <w:t>s</w:t>
      </w:r>
      <w:r w:rsidR="280CF157" w:rsidRPr="00DE51CB">
        <w:rPr>
          <w:lang w:eastAsia="en-GB"/>
        </w:rPr>
        <w:t>traddle one or more</w:t>
      </w:r>
      <w:r>
        <w:rPr>
          <w:lang w:eastAsia="en-GB"/>
        </w:rPr>
        <w:t xml:space="preserve"> of the selected DWP work areas;</w:t>
      </w:r>
      <w:r w:rsidR="280CF157" w:rsidRPr="00DE51CB">
        <w:rPr>
          <w:lang w:eastAsia="en-GB"/>
        </w:rPr>
        <w:t xml:space="preserve"> and</w:t>
      </w:r>
    </w:p>
    <w:p w14:paraId="3E36BF45" w14:textId="58FE9B5D" w:rsidR="0033264C" w:rsidRPr="00F66C66" w:rsidRDefault="00C90C2D" w:rsidP="00F66C66">
      <w:pPr>
        <w:pStyle w:val="ListParagraph"/>
        <w:numPr>
          <w:ilvl w:val="0"/>
          <w:numId w:val="41"/>
        </w:numPr>
        <w:rPr>
          <w:lang w:eastAsia="en-GB"/>
        </w:rPr>
      </w:pPr>
      <w:r>
        <w:rPr>
          <w:lang w:eastAsia="en-GB"/>
        </w:rPr>
        <w:t>provide an opportunity</w:t>
      </w:r>
      <w:r w:rsidR="280CF157" w:rsidRPr="00DE51CB">
        <w:rPr>
          <w:lang w:eastAsia="en-GB"/>
        </w:rPr>
        <w:t>/identify a need for further exploration through the DWP Engagement Programme.</w:t>
      </w:r>
    </w:p>
    <w:p w14:paraId="45F16593" w14:textId="210FF73A" w:rsidR="008E2E74" w:rsidRPr="00C90C2D" w:rsidRDefault="280CF157" w:rsidP="00CD0013">
      <w:pPr>
        <w:pStyle w:val="Heading2"/>
        <w:numPr>
          <w:ilvl w:val="0"/>
          <w:numId w:val="42"/>
        </w:numPr>
        <w:rPr>
          <w:rFonts w:eastAsiaTheme="minorEastAsia"/>
          <w:lang w:eastAsia="en-GB"/>
        </w:rPr>
      </w:pPr>
      <w:r w:rsidRPr="00C90C2D">
        <w:rPr>
          <w:rFonts w:eastAsiaTheme="minorEastAsia"/>
          <w:lang w:eastAsia="en-GB"/>
        </w:rPr>
        <w:t>Unearthing common purpose to tackle perceived or real conflicts of interest which impact on information sharing</w:t>
      </w:r>
    </w:p>
    <w:p w14:paraId="2261AB77" w14:textId="467A4CFF" w:rsidR="00DE4C7C" w:rsidRPr="00C90C2D" w:rsidRDefault="280CF157" w:rsidP="00CD0013">
      <w:r w:rsidRPr="00DE51CB">
        <w:rPr>
          <w:rFonts w:eastAsia="Calibri"/>
        </w:rPr>
        <w:t xml:space="preserve">Frequent comments throughout the launch event highlighted perceived conflicts of interest between the objectives of ‘getting people into work’ and ‘getting people well’, for example discussions around current financial pressures and a 'need to justify' the existence of your own agency or its role.  This can lead to 'impact grabbing' or unwillingness to work in joined-up ways, for fear that the agency can't pin-point its positive impact, moving the focus away from improving the </w:t>
      </w:r>
      <w:r w:rsidRPr="00DE51CB">
        <w:rPr>
          <w:rFonts w:eastAsia="Calibri"/>
        </w:rPr>
        <w:lastRenderedPageBreak/>
        <w:t>life chances of the person. Within local partnerships, partners need to be challenged to identify new or existing common purposes acros</w:t>
      </w:r>
      <w:r w:rsidR="00C90C2D">
        <w:rPr>
          <w:rFonts w:eastAsia="Calibri"/>
        </w:rPr>
        <w:t xml:space="preserve">s both work and health sectors </w:t>
      </w:r>
      <w:r w:rsidR="00C90C2D" w:rsidRPr="00DE51CB">
        <w:rPr>
          <w:rFonts w:eastAsia="Calibri"/>
        </w:rPr>
        <w:t>to</w:t>
      </w:r>
      <w:r w:rsidRPr="00DE51CB">
        <w:rPr>
          <w:rFonts w:eastAsia="Calibri"/>
        </w:rPr>
        <w:t xml:space="preserve"> adequately reflect locally specific conditions.  </w:t>
      </w:r>
      <w:r w:rsidR="00E87A89">
        <w:rPr>
          <w:rFonts w:eastAsia="Calibri"/>
        </w:rPr>
        <w:t>Participants felt that</w:t>
      </w:r>
      <w:r w:rsidRPr="00DE51CB">
        <w:rPr>
          <w:rFonts w:eastAsia="Calibri"/>
        </w:rPr>
        <w:t xml:space="preserve"> further clarity on the positioning and promotion of shared objectives or programmes</w:t>
      </w:r>
      <w:r w:rsidR="00E87A89" w:rsidRPr="00E87A89">
        <w:rPr>
          <w:rFonts w:eastAsia="Calibri"/>
        </w:rPr>
        <w:t xml:space="preserve"> </w:t>
      </w:r>
      <w:r w:rsidR="00E87A89">
        <w:rPr>
          <w:rFonts w:eastAsia="Calibri"/>
        </w:rPr>
        <w:t>a</w:t>
      </w:r>
      <w:r w:rsidR="00E87A89" w:rsidRPr="00DE51CB">
        <w:rPr>
          <w:rFonts w:eastAsia="Calibri"/>
        </w:rPr>
        <w:t>t government department level</w:t>
      </w:r>
      <w:r w:rsidRPr="00DE51CB">
        <w:rPr>
          <w:rFonts w:eastAsia="Calibri"/>
        </w:rPr>
        <w:t>, and associated information sharing guidance, would bring positive impacts.</w:t>
      </w:r>
    </w:p>
    <w:p w14:paraId="4A439F2F" w14:textId="7055F88F" w:rsidR="003B5917" w:rsidRPr="00C90C2D" w:rsidRDefault="280CF157" w:rsidP="00CD0013">
      <w:pPr>
        <w:pStyle w:val="Heading2"/>
        <w:numPr>
          <w:ilvl w:val="0"/>
          <w:numId w:val="42"/>
        </w:numPr>
        <w:rPr>
          <w:rFonts w:eastAsiaTheme="minorEastAsia"/>
          <w:lang w:eastAsia="en-GB"/>
        </w:rPr>
      </w:pPr>
      <w:r w:rsidRPr="00C90C2D">
        <w:rPr>
          <w:rFonts w:eastAsiaTheme="minorEastAsia"/>
          <w:lang w:eastAsia="en-GB"/>
        </w:rPr>
        <w:t>Compounding vulnerability – improving consent and conditionality conversations: getting better at explaining the ‘why’ of information sharing</w:t>
      </w:r>
    </w:p>
    <w:p w14:paraId="6B4B522E" w14:textId="01E8AB28" w:rsidR="00086E61" w:rsidRPr="00CD0013" w:rsidRDefault="00E87A89" w:rsidP="00CD0013">
      <w:r>
        <w:t xml:space="preserve">Participants said that </w:t>
      </w:r>
      <w:r w:rsidR="280CF157" w:rsidRPr="00DE51CB">
        <w:t xml:space="preserve">Jobcentres and the partners who support employment services are reliant on clients disclosing sensitive and/or personal information to fully understand their needs and provide the right support. Some groups of vulnerable people (such as offenders, homeless people, and people with substance misuse problems) are reluctant to fully disclose their circumstances and to give consent for their information to be shared with other agencies.  This can be due to their perceptions of the Jobcentre as an enforcer, or a potential informant to other enforcers (police, social care etc.). It can also be due to an individual's personal and emotional response to their own circumstances. When these individuals hold back their information, and/or their consent to share, this may compound their existing vulnerability, as the support packages they receive are developed without a full understanding of their needs. They may then struggle to meet their conditionality agreements, which could ultimately result in sanctions.  Therefore, </w:t>
      </w:r>
      <w:r>
        <w:t xml:space="preserve">participants suggested that </w:t>
      </w:r>
      <w:r w:rsidR="280CF157" w:rsidRPr="00DE51CB">
        <w:t>there is a need to better explain the role of information sharing in safeguarding vulnerable people and to improve support, communication and learning with clients, and with staff conducting these conversations.</w:t>
      </w:r>
      <w:r>
        <w:t xml:space="preserve"> During the discussions at the event, participants said that </w:t>
      </w:r>
      <w:r w:rsidRPr="00DE51CB">
        <w:t xml:space="preserve">partners </w:t>
      </w:r>
      <w:r>
        <w:t xml:space="preserve">should </w:t>
      </w:r>
      <w:r w:rsidRPr="00DE51CB">
        <w:t>agree</w:t>
      </w:r>
      <w:r>
        <w:t xml:space="preserve"> t</w:t>
      </w:r>
      <w:r w:rsidR="280CF157" w:rsidRPr="00DE51CB">
        <w:t xml:space="preserve">he </w:t>
      </w:r>
      <w:r w:rsidRPr="00DE51CB">
        <w:t>capabilit</w:t>
      </w:r>
      <w:r>
        <w:t>ies needed by</w:t>
      </w:r>
      <w:r w:rsidR="280CF157" w:rsidRPr="00DE51CB">
        <w:t xml:space="preserve"> staff to lead conversations about consent </w:t>
      </w:r>
      <w:r>
        <w:t>and offer appropriate support to help them do this</w:t>
      </w:r>
      <w:r w:rsidR="280CF157" w:rsidRPr="00DE51CB">
        <w:t>.</w:t>
      </w:r>
    </w:p>
    <w:p w14:paraId="2259B9FC" w14:textId="329AF0F2" w:rsidR="00B85FB3" w:rsidRPr="00C90C2D" w:rsidRDefault="280CF157" w:rsidP="00CD0013">
      <w:pPr>
        <w:pStyle w:val="Heading2"/>
        <w:numPr>
          <w:ilvl w:val="0"/>
          <w:numId w:val="42"/>
        </w:numPr>
        <w:rPr>
          <w:rFonts w:eastAsiaTheme="minorEastAsia"/>
          <w:lang w:eastAsia="en-GB"/>
        </w:rPr>
      </w:pPr>
      <w:r w:rsidRPr="00C90C2D">
        <w:rPr>
          <w:rFonts w:eastAsiaTheme="minorEastAsia"/>
          <w:lang w:eastAsia="en-GB"/>
        </w:rPr>
        <w:t>Co-location – changing perceptions of DWP/JCP and enabling information sharing</w:t>
      </w:r>
    </w:p>
    <w:p w14:paraId="0D52A909" w14:textId="1A5EF180" w:rsidR="00C90C2D" w:rsidRPr="00C90C2D" w:rsidRDefault="280CF157" w:rsidP="00CD0013">
      <w:pPr>
        <w:rPr>
          <w:lang w:eastAsia="en-GB"/>
        </w:rPr>
      </w:pPr>
      <w:r w:rsidRPr="00DE51CB">
        <w:rPr>
          <w:lang w:eastAsia="en-GB"/>
        </w:rPr>
        <w:t xml:space="preserve">Staff from Jobcentres and local partners stated that being co-located makes it easier for them to share information as they can develop personal relationships and establish trust to share information verbally.  It was also identified as helping them to better understand one another’s common purpose, resulting in changed perceptions (of JCP/DWP) and better relationships between agencies (further supporting information sharing and improved service to clients).  There is an opportunity in this programme to capture and understand further the benefits of co-location </w:t>
      </w:r>
      <w:r w:rsidR="00C90C2D" w:rsidRPr="00DE51CB">
        <w:rPr>
          <w:lang w:eastAsia="en-GB"/>
        </w:rPr>
        <w:t>to</w:t>
      </w:r>
      <w:r w:rsidRPr="00DE51CB">
        <w:rPr>
          <w:lang w:eastAsia="en-GB"/>
        </w:rPr>
        <w:t xml:space="preserve"> share models of good practice.</w:t>
      </w:r>
    </w:p>
    <w:p w14:paraId="43220916" w14:textId="7005D45B" w:rsidR="003F065D" w:rsidRPr="00C90C2D" w:rsidRDefault="280CF157" w:rsidP="00CD0013">
      <w:pPr>
        <w:pStyle w:val="Heading2"/>
        <w:numPr>
          <w:ilvl w:val="0"/>
          <w:numId w:val="42"/>
        </w:numPr>
        <w:rPr>
          <w:rFonts w:eastAsiaTheme="minorEastAsia"/>
          <w:lang w:eastAsia="en-GB"/>
        </w:rPr>
      </w:pPr>
      <w:r w:rsidRPr="00C90C2D">
        <w:rPr>
          <w:rFonts w:eastAsiaTheme="minorEastAsia"/>
          <w:lang w:eastAsia="en-GB"/>
        </w:rPr>
        <w:t>Developing effective partnerships – getting the right people around the table, with the right knowledge</w:t>
      </w:r>
    </w:p>
    <w:p w14:paraId="13694064" w14:textId="17F268E1" w:rsidR="00C90C2D" w:rsidRDefault="280CF157" w:rsidP="00CD0013">
      <w:pPr>
        <w:rPr>
          <w:lang w:eastAsia="en-GB"/>
        </w:rPr>
      </w:pPr>
      <w:r w:rsidRPr="00DE51CB">
        <w:rPr>
          <w:lang w:eastAsia="en-GB"/>
        </w:rPr>
        <w:t>Not all localities have the same approach to the make-up of their ‘core partnerships’, and many cited the need to better understand which agencies need to be involved in sharing information to better co-ordinate services, identify vulnerable people, and enable earlier intervention (schools and health services being highlighted in particular).  In addition, participants highlighted the potential for better understanding of the desired outcomes, referral processes and the governance structures of other agencies. In addition, partnerships require support to understand ‘rules’, 'bust myths' and understand common misconceptions, to enable and support better information sharing within their local partnerships.</w:t>
      </w:r>
    </w:p>
    <w:p w14:paraId="57981936" w14:textId="71BCDC83" w:rsidR="003F065D" w:rsidRPr="00C90C2D" w:rsidRDefault="280CF157" w:rsidP="00CD0013">
      <w:pPr>
        <w:pStyle w:val="Heading2"/>
        <w:numPr>
          <w:ilvl w:val="0"/>
          <w:numId w:val="42"/>
        </w:numPr>
        <w:rPr>
          <w:rFonts w:eastAsiaTheme="minorEastAsia"/>
          <w:color w:val="auto"/>
          <w:lang w:eastAsia="en-GB"/>
        </w:rPr>
      </w:pPr>
      <w:r w:rsidRPr="00C90C2D">
        <w:lastRenderedPageBreak/>
        <w:t>Supporting vulnerable people to access, and stay in wo</w:t>
      </w:r>
      <w:r w:rsidR="00C90C2D" w:rsidRPr="00C90C2D">
        <w:t xml:space="preserve">rk, by sharing information with </w:t>
      </w:r>
      <w:r w:rsidRPr="00C90C2D">
        <w:t>employers</w:t>
      </w:r>
    </w:p>
    <w:p w14:paraId="11CB209B" w14:textId="07BD5FFC" w:rsidR="00F82C86" w:rsidRPr="00DE51CB" w:rsidRDefault="00E87A89" w:rsidP="00CD0013">
      <w:r>
        <w:t>Participants felt that c</w:t>
      </w:r>
      <w:r w:rsidR="280CF157" w:rsidRPr="00DE51CB">
        <w:t xml:space="preserve">hanges to the welfare system and the implementation of universal credit </w:t>
      </w:r>
      <w:r>
        <w:t>were</w:t>
      </w:r>
      <w:r w:rsidRPr="00DE51CB">
        <w:t xml:space="preserve"> </w:t>
      </w:r>
      <w:r w:rsidR="280CF157" w:rsidRPr="00DE51CB">
        <w:t xml:space="preserve">placing demands on JCP staff and partner agencies to do more to support key groups (such as over 50s, families accessing Children's Centres, and people with mental health needs) to improve their chances of accessing and sustaining employment.  </w:t>
      </w:r>
      <w:r>
        <w:t>It was felt that t</w:t>
      </w:r>
      <w:r w:rsidR="280CF157" w:rsidRPr="00DE51CB">
        <w:t xml:space="preserve">his has led to an increasing focus on ‘in work’ support and volunteering (as a stepping stone).  However, </w:t>
      </w:r>
      <w:r>
        <w:t xml:space="preserve">event participants said </w:t>
      </w:r>
      <w:r w:rsidR="280CF157" w:rsidRPr="00DE51CB">
        <w:t>there ha</w:t>
      </w:r>
      <w:r>
        <w:t>d</w:t>
      </w:r>
      <w:r w:rsidR="280CF157" w:rsidRPr="00DE51CB">
        <w:t xml:space="preserve"> not been a corresponding development of guidance or process around how this should be reflected in the consent discussions with clients, or in partnership arrangements with employers and the voluntary sector.  Therefore, further activity could explore how to improve information sharing between Jobcentres, the voluntary sector, and employers, to better support these key groups, and to support employers to offer appropriate volunteering or employment opportunities.   </w:t>
      </w:r>
    </w:p>
    <w:p w14:paraId="00A87B63" w14:textId="4F4476E6" w:rsidR="003F065D" w:rsidRPr="00C90C2D" w:rsidRDefault="280CF157" w:rsidP="00CD0013">
      <w:pPr>
        <w:pStyle w:val="Heading2"/>
        <w:numPr>
          <w:ilvl w:val="0"/>
          <w:numId w:val="42"/>
        </w:numPr>
        <w:rPr>
          <w:rFonts w:eastAsiaTheme="minorEastAsia"/>
          <w:lang w:eastAsia="en-GB"/>
        </w:rPr>
      </w:pPr>
      <w:r w:rsidRPr="00C90C2D">
        <w:rPr>
          <w:rFonts w:eastAsiaTheme="minorEastAsia"/>
          <w:lang w:eastAsia="en-GB"/>
        </w:rPr>
        <w:t>Designing new ways of working and a ‘can do’ culture – using timely and dynamic information sharing to better support key target groups</w:t>
      </w:r>
    </w:p>
    <w:p w14:paraId="041C0FBB" w14:textId="07EA1D37" w:rsidR="00F66C66" w:rsidRDefault="00E87A89" w:rsidP="00CD0013">
      <w:pPr>
        <w:rPr>
          <w:lang w:eastAsia="en-GB"/>
        </w:rPr>
      </w:pPr>
      <w:r>
        <w:rPr>
          <w:lang w:eastAsia="en-GB"/>
        </w:rPr>
        <w:t>During the discussion participants identified</w:t>
      </w:r>
      <w:r w:rsidRPr="00DE51CB">
        <w:rPr>
          <w:lang w:eastAsia="en-GB"/>
        </w:rPr>
        <w:t xml:space="preserve"> several</w:t>
      </w:r>
      <w:r w:rsidR="280CF157" w:rsidRPr="00DE51CB">
        <w:rPr>
          <w:lang w:eastAsia="en-GB"/>
        </w:rPr>
        <w:t xml:space="preserve"> priority groups common to DWP/JCP and the health sector such as people with mental health needs, elderly people with chronic health problems, homeless people and vulnerable groups whose demands are being managed reactively by the ‘wrong bit’ of the system (such as Accident &amp; Emergency Departments).  Timely and dynamic sharing of data about these groups has the potential to improve the support for these individuals.  However, </w:t>
      </w:r>
      <w:r>
        <w:rPr>
          <w:lang w:eastAsia="en-GB"/>
        </w:rPr>
        <w:t xml:space="preserve">participants felt that </w:t>
      </w:r>
      <w:r w:rsidR="280CF157" w:rsidRPr="00DE51CB">
        <w:rPr>
          <w:lang w:eastAsia="en-GB"/>
        </w:rPr>
        <w:t>information sharing is impeded by service design which does not adequately consider the need for information flows, or services lack a common unique identifier to facilitate data matching. Understanding these barriers within local places in more detail, and understanding where opportunities have been developed locally, has the potential to be a key part of this programme.</w:t>
      </w:r>
    </w:p>
    <w:p w14:paraId="5ED125C6" w14:textId="0616FBFA" w:rsidR="003B5917" w:rsidRPr="00CD0013" w:rsidRDefault="280CF157" w:rsidP="00F66C66">
      <w:pPr>
        <w:pStyle w:val="Heading2"/>
        <w:rPr>
          <w:rFonts w:eastAsiaTheme="minorEastAsia"/>
          <w:lang w:eastAsia="en-GB"/>
        </w:rPr>
      </w:pPr>
      <w:r w:rsidRPr="00DE51CB">
        <w:rPr>
          <w:rFonts w:eastAsiaTheme="minorEastAsia"/>
          <w:lang w:eastAsia="en-GB"/>
        </w:rPr>
        <w:t>Next steps/action required</w:t>
      </w:r>
      <w:r w:rsidR="00F66C66">
        <w:rPr>
          <w:rFonts w:eastAsiaTheme="minorEastAsia"/>
          <w:lang w:eastAsia="en-GB"/>
        </w:rPr>
        <w:t>:</w:t>
      </w:r>
    </w:p>
    <w:p w14:paraId="16754AEC" w14:textId="77777777" w:rsidR="00C90C2D" w:rsidRPr="00DE51CB" w:rsidRDefault="00C90C2D" w:rsidP="280CF157">
      <w:pPr>
        <w:spacing w:after="0" w:line="240" w:lineRule="auto"/>
        <w:rPr>
          <w:rFonts w:eastAsiaTheme="minorEastAsia" w:cstheme="minorHAnsi"/>
          <w:lang w:eastAsia="en-GB"/>
        </w:rPr>
      </w:pPr>
    </w:p>
    <w:p w14:paraId="06667884" w14:textId="718A1136" w:rsidR="00C90C2D" w:rsidRPr="00DE51CB" w:rsidRDefault="280CF157" w:rsidP="00F66C66">
      <w:pPr>
        <w:rPr>
          <w:lang w:eastAsia="en-GB"/>
        </w:rPr>
      </w:pPr>
      <w:r w:rsidRPr="00DE51CB">
        <w:rPr>
          <w:lang w:eastAsia="en-GB"/>
        </w:rPr>
        <w:t>Following receipt of this high-level findings report (and accompanying appendices), the DWP and Joint Work and Health Unit are now asked to:</w:t>
      </w:r>
    </w:p>
    <w:p w14:paraId="204124A0" w14:textId="1D0E6C5C" w:rsidR="003F5966" w:rsidRPr="00401BB8" w:rsidRDefault="00C90C2D" w:rsidP="00401BB8">
      <w:pPr>
        <w:pStyle w:val="ListParagraph"/>
        <w:numPr>
          <w:ilvl w:val="0"/>
          <w:numId w:val="43"/>
        </w:numPr>
        <w:rPr>
          <w:b/>
          <w:bCs/>
          <w:lang w:eastAsia="en-GB"/>
        </w:rPr>
      </w:pPr>
      <w:r>
        <w:rPr>
          <w:lang w:eastAsia="en-GB"/>
        </w:rPr>
        <w:t>r</w:t>
      </w:r>
      <w:r w:rsidR="280CF157" w:rsidRPr="00DE51CB">
        <w:rPr>
          <w:lang w:eastAsia="en-GB"/>
        </w:rPr>
        <w:t xml:space="preserve">eview and provide feedback on the Findings Report, particularly the six information sharing challenges </w:t>
      </w:r>
      <w:r>
        <w:rPr>
          <w:lang w:eastAsia="en-GB"/>
        </w:rPr>
        <w:t>(above).  Highlighting which two/three</w:t>
      </w:r>
      <w:r w:rsidR="280CF157" w:rsidRPr="00DE51CB">
        <w:rPr>
          <w:lang w:eastAsia="en-GB"/>
        </w:rPr>
        <w:t xml:space="preserve"> challenges the Centre should focus on in the next stage of the DWP Engagement Programme.</w:t>
      </w:r>
    </w:p>
    <w:p w14:paraId="78B9A425" w14:textId="77777777" w:rsidR="00401BB8" w:rsidRDefault="280CF157" w:rsidP="00F66C66">
      <w:pPr>
        <w:rPr>
          <w:lang w:eastAsia="en-GB"/>
        </w:rPr>
      </w:pPr>
      <w:r w:rsidRPr="00DE51CB">
        <w:rPr>
          <w:lang w:eastAsia="en-GB"/>
        </w:rPr>
        <w:t>Following approval of the Findings Report, the Centre will use the agreed priority themes to develop a detailed delivery plan for the next stage of</w:t>
      </w:r>
      <w:r w:rsidR="00401BB8">
        <w:rPr>
          <w:lang w:eastAsia="en-GB"/>
        </w:rPr>
        <w:t xml:space="preserve"> the DWP Engagement Programme</w:t>
      </w:r>
      <w:r w:rsidRPr="00DE51CB">
        <w:rPr>
          <w:lang w:eastAsia="en-GB"/>
        </w:rPr>
        <w:t xml:space="preserve">.  </w:t>
      </w:r>
    </w:p>
    <w:p w14:paraId="1FD0B4D1" w14:textId="150A899C" w:rsidR="00C90C2D" w:rsidRPr="00401BB8" w:rsidRDefault="280CF157" w:rsidP="00F66C66">
      <w:pPr>
        <w:rPr>
          <w:lang w:eastAsia="en-GB"/>
        </w:rPr>
      </w:pPr>
      <w:r w:rsidRPr="00DE51CB">
        <w:rPr>
          <w:lang w:eastAsia="en-GB"/>
        </w:rPr>
        <w:t>The delivery plan will set out:</w:t>
      </w:r>
    </w:p>
    <w:p w14:paraId="1E9B4D2D" w14:textId="16599C58" w:rsidR="006F4538" w:rsidRPr="00DE51CB" w:rsidRDefault="00C90C2D" w:rsidP="00F66C66">
      <w:pPr>
        <w:pStyle w:val="ListParagraph"/>
        <w:numPr>
          <w:ilvl w:val="0"/>
          <w:numId w:val="43"/>
        </w:numPr>
        <w:rPr>
          <w:lang w:eastAsia="en-GB"/>
        </w:rPr>
      </w:pPr>
      <w:r>
        <w:rPr>
          <w:lang w:eastAsia="en-GB"/>
        </w:rPr>
        <w:t>t</w:t>
      </w:r>
      <w:r w:rsidR="280CF157" w:rsidRPr="00DE51CB">
        <w:rPr>
          <w:lang w:eastAsia="en-GB"/>
        </w:rPr>
        <w:t>he planned activity e.g.</w:t>
      </w:r>
      <w:r w:rsidR="280CF157" w:rsidRPr="00F66C66">
        <w:rPr>
          <w:color w:val="000000" w:themeColor="text1"/>
          <w:lang w:eastAsia="en-GB"/>
        </w:rPr>
        <w:t xml:space="preserve"> intensive work with </w:t>
      </w:r>
      <w:r w:rsidRPr="00F66C66">
        <w:rPr>
          <w:color w:val="000000" w:themeColor="text1"/>
          <w:lang w:eastAsia="en-GB"/>
        </w:rPr>
        <w:t>a small number of JCP</w:t>
      </w:r>
      <w:r w:rsidR="280CF157" w:rsidRPr="00F66C66">
        <w:rPr>
          <w:color w:val="000000" w:themeColor="text1"/>
          <w:lang w:eastAsia="en-GB"/>
        </w:rPr>
        <w:t xml:space="preserve"> localities, engagement with a wider range of localities to share and test findings, and dissemination of good</w:t>
      </w:r>
      <w:r w:rsidRPr="00F66C66">
        <w:rPr>
          <w:color w:val="000000" w:themeColor="text1"/>
          <w:lang w:eastAsia="en-GB"/>
        </w:rPr>
        <w:t xml:space="preserve"> practice to the wider audience; and</w:t>
      </w:r>
    </w:p>
    <w:p w14:paraId="036CE510" w14:textId="42B151E7" w:rsidR="00C90C2D" w:rsidRPr="00C90C2D" w:rsidRDefault="00C90C2D" w:rsidP="00F66C66">
      <w:pPr>
        <w:pStyle w:val="ListParagraph"/>
        <w:numPr>
          <w:ilvl w:val="0"/>
          <w:numId w:val="43"/>
        </w:numPr>
        <w:rPr>
          <w:lang w:eastAsia="en-GB"/>
        </w:rPr>
      </w:pPr>
      <w:r>
        <w:rPr>
          <w:lang w:eastAsia="en-GB"/>
        </w:rPr>
        <w:t>h</w:t>
      </w:r>
      <w:r w:rsidR="280CF157" w:rsidRPr="00DE51CB">
        <w:rPr>
          <w:lang w:eastAsia="en-GB"/>
        </w:rPr>
        <w:t xml:space="preserve">ow the Centre’s </w:t>
      </w:r>
      <w:r w:rsidR="280CF157" w:rsidRPr="00F66C66">
        <w:rPr>
          <w:color w:val="000000" w:themeColor="text1"/>
          <w:lang w:eastAsia="en-GB"/>
        </w:rPr>
        <w:t>ongoing commitment to evaluating the impact of the programme</w:t>
      </w:r>
      <w:r w:rsidR="280CF157" w:rsidRPr="00DE51CB">
        <w:rPr>
          <w:lang w:eastAsia="en-GB"/>
        </w:rPr>
        <w:t xml:space="preserve"> will be embedded within the planned activity.</w:t>
      </w:r>
    </w:p>
    <w:p w14:paraId="0F918D45" w14:textId="77777777" w:rsidR="00401BB8" w:rsidRDefault="00401BB8" w:rsidP="00F66C66">
      <w:pPr>
        <w:pStyle w:val="Heading2"/>
        <w:rPr>
          <w:rFonts w:eastAsiaTheme="minorEastAsia"/>
          <w:lang w:eastAsia="en-GB"/>
        </w:rPr>
      </w:pPr>
    </w:p>
    <w:p w14:paraId="330FF727" w14:textId="77777777" w:rsidR="00401BB8" w:rsidRDefault="00401BB8" w:rsidP="00F66C66">
      <w:pPr>
        <w:pStyle w:val="Heading2"/>
        <w:rPr>
          <w:rFonts w:eastAsiaTheme="minorEastAsia"/>
          <w:lang w:eastAsia="en-GB"/>
        </w:rPr>
      </w:pPr>
    </w:p>
    <w:p w14:paraId="2C8C39BF" w14:textId="3A9A55F5" w:rsidR="00E07A9D" w:rsidRDefault="280CF157" w:rsidP="00401BB8">
      <w:pPr>
        <w:pStyle w:val="Heading2"/>
        <w:rPr>
          <w:rFonts w:eastAsiaTheme="minorEastAsia"/>
          <w:lang w:eastAsia="en-GB"/>
        </w:rPr>
      </w:pPr>
      <w:r w:rsidRPr="00DE51CB">
        <w:rPr>
          <w:rFonts w:eastAsiaTheme="minorEastAsia"/>
          <w:lang w:eastAsia="en-GB"/>
        </w:rPr>
        <w:t>Appendices</w:t>
      </w:r>
    </w:p>
    <w:p w14:paraId="46AFA8EF" w14:textId="391312A1" w:rsidR="00047C5C" w:rsidRPr="00DE51CB" w:rsidRDefault="00401BB8" w:rsidP="00F66C66">
      <w:pPr>
        <w:rPr>
          <w:lang w:eastAsia="en-GB"/>
        </w:rPr>
      </w:pPr>
      <w:r>
        <w:rPr>
          <w:lang w:eastAsia="en-GB"/>
        </w:rPr>
        <w:br/>
      </w:r>
      <w:r w:rsidR="280CF157" w:rsidRPr="00DE51CB">
        <w:rPr>
          <w:lang w:eastAsia="en-GB"/>
        </w:rPr>
        <w:t>The following appendices are contained in a separate document:</w:t>
      </w:r>
    </w:p>
    <w:p w14:paraId="3C816FBD" w14:textId="11388347" w:rsidR="00047C5C" w:rsidRPr="00DE51CB" w:rsidRDefault="00D020FA" w:rsidP="00F66C66">
      <w:pPr>
        <w:pStyle w:val="ListParagraph"/>
        <w:numPr>
          <w:ilvl w:val="0"/>
          <w:numId w:val="44"/>
        </w:numPr>
        <w:rPr>
          <w:lang w:eastAsia="en-GB"/>
        </w:rPr>
      </w:pPr>
      <w:r>
        <w:rPr>
          <w:lang w:eastAsia="en-GB"/>
        </w:rPr>
        <w:t>Appendix A</w:t>
      </w:r>
      <w:r w:rsidR="280CF157" w:rsidRPr="00DE51CB">
        <w:rPr>
          <w:lang w:eastAsia="en-GB"/>
        </w:rPr>
        <w:t xml:space="preserve">: Results from pre-event online </w:t>
      </w:r>
    </w:p>
    <w:p w14:paraId="5836D3A5" w14:textId="6B8E5ADA" w:rsidR="00BA031A" w:rsidRPr="00DE51CB" w:rsidRDefault="00D020FA" w:rsidP="00F66C66">
      <w:pPr>
        <w:pStyle w:val="ListParagraph"/>
        <w:numPr>
          <w:ilvl w:val="0"/>
          <w:numId w:val="44"/>
        </w:numPr>
        <w:rPr>
          <w:lang w:eastAsia="en-GB"/>
        </w:rPr>
      </w:pPr>
      <w:r>
        <w:rPr>
          <w:lang w:eastAsia="en-GB"/>
        </w:rPr>
        <w:t>Appendix B</w:t>
      </w:r>
      <w:r w:rsidR="280CF157" w:rsidRPr="00DE51CB">
        <w:rPr>
          <w:lang w:eastAsia="en-GB"/>
        </w:rPr>
        <w:t>: Results from the event feedback</w:t>
      </w:r>
    </w:p>
    <w:p w14:paraId="4CA8898A" w14:textId="67F0434B" w:rsidR="00047C5C" w:rsidRPr="00DE51CB" w:rsidRDefault="00D020FA" w:rsidP="00F66C66">
      <w:pPr>
        <w:pStyle w:val="ListParagraph"/>
        <w:numPr>
          <w:ilvl w:val="0"/>
          <w:numId w:val="44"/>
        </w:numPr>
        <w:rPr>
          <w:lang w:eastAsia="en-GB"/>
        </w:rPr>
      </w:pPr>
      <w:r>
        <w:rPr>
          <w:lang w:eastAsia="en-GB"/>
        </w:rPr>
        <w:t>Appendix C</w:t>
      </w:r>
      <w:r w:rsidR="280CF157" w:rsidRPr="00DE51CB">
        <w:rPr>
          <w:lang w:eastAsia="en-GB"/>
        </w:rPr>
        <w:t>: Raw feedback notes/results from launch event exercises</w:t>
      </w:r>
    </w:p>
    <w:sectPr w:rsidR="00047C5C" w:rsidRPr="00DE51CB" w:rsidSect="00DE142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81DDB0" w14:textId="77777777" w:rsidR="0020401A" w:rsidRDefault="0020401A" w:rsidP="00A5672A">
      <w:pPr>
        <w:spacing w:after="0" w:line="240" w:lineRule="auto"/>
      </w:pPr>
      <w:r>
        <w:separator/>
      </w:r>
    </w:p>
  </w:endnote>
  <w:endnote w:type="continuationSeparator" w:id="0">
    <w:p w14:paraId="672E32EA" w14:textId="77777777" w:rsidR="0020401A" w:rsidRDefault="0020401A" w:rsidP="00A5672A">
      <w:pPr>
        <w:spacing w:after="0" w:line="240" w:lineRule="auto"/>
      </w:pPr>
      <w:r>
        <w:continuationSeparator/>
      </w:r>
    </w:p>
  </w:endnote>
  <w:endnote w:type="continuationNotice" w:id="1">
    <w:p w14:paraId="06BF80A4" w14:textId="77777777" w:rsidR="0020401A" w:rsidRDefault="002040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Times New Roman">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1DE7C" w14:textId="77777777" w:rsidR="005967F0" w:rsidRDefault="005967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3008"/>
      <w:gridCol w:w="3009"/>
      <w:gridCol w:w="3009"/>
    </w:tblGrid>
    <w:tr w:rsidR="0020401A" w14:paraId="0999D8DE" w14:textId="77777777" w:rsidTr="298DC7AB">
      <w:tc>
        <w:tcPr>
          <w:tcW w:w="3009" w:type="dxa"/>
        </w:tcPr>
        <w:p w14:paraId="524E5187" w14:textId="61E28AFA" w:rsidR="0020401A" w:rsidRDefault="0020401A" w:rsidP="298DC7AB">
          <w:pPr>
            <w:pStyle w:val="Header"/>
            <w:ind w:left="-115"/>
          </w:pPr>
        </w:p>
      </w:tc>
      <w:tc>
        <w:tcPr>
          <w:tcW w:w="3009" w:type="dxa"/>
        </w:tcPr>
        <w:p w14:paraId="05C8FF81" w14:textId="509173A6" w:rsidR="0020401A" w:rsidRDefault="0020401A" w:rsidP="298DC7AB">
          <w:pPr>
            <w:pStyle w:val="Header"/>
            <w:jc w:val="center"/>
          </w:pPr>
        </w:p>
      </w:tc>
      <w:tc>
        <w:tcPr>
          <w:tcW w:w="3009" w:type="dxa"/>
        </w:tcPr>
        <w:p w14:paraId="07345736" w14:textId="04EC8F83" w:rsidR="0020401A" w:rsidRDefault="0020401A" w:rsidP="298DC7AB">
          <w:pPr>
            <w:pStyle w:val="Header"/>
            <w:ind w:right="-115"/>
            <w:jc w:val="right"/>
          </w:pPr>
          <w:r>
            <w:fldChar w:fldCharType="begin"/>
          </w:r>
          <w:r>
            <w:instrText>PAGE</w:instrText>
          </w:r>
          <w:r>
            <w:fldChar w:fldCharType="separate"/>
          </w:r>
          <w:r w:rsidR="00376893">
            <w:rPr>
              <w:noProof/>
            </w:rPr>
            <w:t>5</w:t>
          </w:r>
          <w:r>
            <w:fldChar w:fldCharType="end"/>
          </w:r>
        </w:p>
      </w:tc>
    </w:tr>
  </w:tbl>
  <w:p w14:paraId="02B5E175" w14:textId="7E4B54A5" w:rsidR="0020401A" w:rsidRDefault="0020401A" w:rsidP="00DE14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F85A7" w14:textId="77777777" w:rsidR="005967F0" w:rsidRDefault="005967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A898DF" w14:textId="77777777" w:rsidR="0020401A" w:rsidRDefault="0020401A" w:rsidP="00A5672A">
      <w:pPr>
        <w:spacing w:after="0" w:line="240" w:lineRule="auto"/>
      </w:pPr>
      <w:r>
        <w:separator/>
      </w:r>
    </w:p>
  </w:footnote>
  <w:footnote w:type="continuationSeparator" w:id="0">
    <w:p w14:paraId="48B1F6A6" w14:textId="77777777" w:rsidR="0020401A" w:rsidRDefault="0020401A" w:rsidP="00A5672A">
      <w:pPr>
        <w:spacing w:after="0" w:line="240" w:lineRule="auto"/>
      </w:pPr>
      <w:r>
        <w:continuationSeparator/>
      </w:r>
    </w:p>
  </w:footnote>
  <w:footnote w:type="continuationNotice" w:id="1">
    <w:p w14:paraId="11D21415" w14:textId="77777777" w:rsidR="0020401A" w:rsidRDefault="002040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CA292" w14:textId="77777777" w:rsidR="005967F0" w:rsidRDefault="005967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3008"/>
      <w:gridCol w:w="3009"/>
      <w:gridCol w:w="3009"/>
    </w:tblGrid>
    <w:tr w:rsidR="0020401A" w14:paraId="7FC0B312" w14:textId="77777777" w:rsidTr="298DC7AB">
      <w:tc>
        <w:tcPr>
          <w:tcW w:w="3009" w:type="dxa"/>
        </w:tcPr>
        <w:p w14:paraId="3DBADEA9" w14:textId="6FA3D2C7" w:rsidR="0020401A" w:rsidRDefault="0020401A" w:rsidP="00CD0013">
          <w:pPr>
            <w:pStyle w:val="Header"/>
            <w:ind w:left="-115"/>
          </w:pPr>
        </w:p>
      </w:tc>
      <w:tc>
        <w:tcPr>
          <w:tcW w:w="3009" w:type="dxa"/>
        </w:tcPr>
        <w:p w14:paraId="499ACAF5" w14:textId="47D0403F" w:rsidR="0020401A" w:rsidRDefault="0020401A" w:rsidP="298DC7AB">
          <w:pPr>
            <w:pStyle w:val="Header"/>
            <w:jc w:val="center"/>
          </w:pPr>
        </w:p>
      </w:tc>
      <w:tc>
        <w:tcPr>
          <w:tcW w:w="3009" w:type="dxa"/>
        </w:tcPr>
        <w:p w14:paraId="509C937E" w14:textId="432759B9" w:rsidR="0020401A" w:rsidRDefault="00CD0013" w:rsidP="298DC7AB">
          <w:pPr>
            <w:pStyle w:val="Header"/>
            <w:ind w:right="-115"/>
            <w:jc w:val="right"/>
          </w:pPr>
          <w:r>
            <w:rPr>
              <w:noProof/>
              <w:lang w:eastAsia="en-GB"/>
            </w:rPr>
            <w:drawing>
              <wp:inline distT="0" distB="0" distL="0" distR="0" wp14:anchorId="7A7469B5" wp14:editId="20BDB3E6">
                <wp:extent cx="1323400" cy="57422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rvey logo.jpg"/>
                        <pic:cNvPicPr/>
                      </pic:nvPicPr>
                      <pic:blipFill>
                        <a:blip r:embed="rId1">
                          <a:extLst>
                            <a:ext uri="{28A0092B-C50C-407E-A947-70E740481C1C}">
                              <a14:useLocalDpi xmlns:a14="http://schemas.microsoft.com/office/drawing/2010/main" val="0"/>
                            </a:ext>
                          </a:extLst>
                        </a:blip>
                        <a:stretch>
                          <a:fillRect/>
                        </a:stretch>
                      </pic:blipFill>
                      <pic:spPr>
                        <a:xfrm>
                          <a:off x="0" y="0"/>
                          <a:ext cx="1347307" cy="584594"/>
                        </a:xfrm>
                        <a:prstGeom prst="rect">
                          <a:avLst/>
                        </a:prstGeom>
                      </pic:spPr>
                    </pic:pic>
                  </a:graphicData>
                </a:graphic>
              </wp:inline>
            </w:drawing>
          </w:r>
        </w:p>
      </w:tc>
    </w:tr>
  </w:tbl>
  <w:p w14:paraId="29D6062D" w14:textId="61E25EB4" w:rsidR="0020401A" w:rsidRDefault="0020401A" w:rsidP="00F741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2913B" w14:textId="77777777" w:rsidR="005967F0" w:rsidRDefault="005967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F4D"/>
    <w:multiLevelType w:val="hybridMultilevel"/>
    <w:tmpl w:val="96B05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2F47F4"/>
    <w:multiLevelType w:val="hybridMultilevel"/>
    <w:tmpl w:val="4AAC3A18"/>
    <w:lvl w:ilvl="0" w:tplc="0809000D">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134F7EC6"/>
    <w:multiLevelType w:val="hybridMultilevel"/>
    <w:tmpl w:val="7E6C8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5731FE"/>
    <w:multiLevelType w:val="hybridMultilevel"/>
    <w:tmpl w:val="2BE8B5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B6018D"/>
    <w:multiLevelType w:val="hybridMultilevel"/>
    <w:tmpl w:val="67767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205748"/>
    <w:multiLevelType w:val="hybridMultilevel"/>
    <w:tmpl w:val="5C083A68"/>
    <w:lvl w:ilvl="0" w:tplc="01289B4E">
      <w:start w:val="1"/>
      <w:numFmt w:val="decimal"/>
      <w:lvlText w:val="%1."/>
      <w:lvlJc w:val="left"/>
      <w:pPr>
        <w:ind w:left="720" w:hanging="360"/>
      </w:pPr>
    </w:lvl>
    <w:lvl w:ilvl="1" w:tplc="8DC4FBD6">
      <w:start w:val="1"/>
      <w:numFmt w:val="lowerLetter"/>
      <w:lvlText w:val="%2."/>
      <w:lvlJc w:val="left"/>
      <w:pPr>
        <w:ind w:left="1440" w:hanging="360"/>
      </w:pPr>
    </w:lvl>
    <w:lvl w:ilvl="2" w:tplc="0902F5C8">
      <w:start w:val="1"/>
      <w:numFmt w:val="lowerRoman"/>
      <w:lvlText w:val="%3."/>
      <w:lvlJc w:val="right"/>
      <w:pPr>
        <w:ind w:left="2160" w:hanging="180"/>
      </w:pPr>
    </w:lvl>
    <w:lvl w:ilvl="3" w:tplc="9DB0DF20">
      <w:start w:val="1"/>
      <w:numFmt w:val="decimal"/>
      <w:lvlText w:val="%4."/>
      <w:lvlJc w:val="left"/>
      <w:pPr>
        <w:ind w:left="2880" w:hanging="360"/>
      </w:pPr>
    </w:lvl>
    <w:lvl w:ilvl="4" w:tplc="69BCADD4">
      <w:start w:val="1"/>
      <w:numFmt w:val="lowerLetter"/>
      <w:lvlText w:val="%5."/>
      <w:lvlJc w:val="left"/>
      <w:pPr>
        <w:ind w:left="3600" w:hanging="360"/>
      </w:pPr>
    </w:lvl>
    <w:lvl w:ilvl="5" w:tplc="45B0EB14">
      <w:start w:val="1"/>
      <w:numFmt w:val="lowerRoman"/>
      <w:lvlText w:val="%6."/>
      <w:lvlJc w:val="right"/>
      <w:pPr>
        <w:ind w:left="4320" w:hanging="180"/>
      </w:pPr>
    </w:lvl>
    <w:lvl w:ilvl="6" w:tplc="27262F1E">
      <w:start w:val="1"/>
      <w:numFmt w:val="decimal"/>
      <w:lvlText w:val="%7."/>
      <w:lvlJc w:val="left"/>
      <w:pPr>
        <w:ind w:left="5040" w:hanging="360"/>
      </w:pPr>
    </w:lvl>
    <w:lvl w:ilvl="7" w:tplc="E3188D7C">
      <w:start w:val="1"/>
      <w:numFmt w:val="lowerLetter"/>
      <w:lvlText w:val="%8."/>
      <w:lvlJc w:val="left"/>
      <w:pPr>
        <w:ind w:left="5760" w:hanging="360"/>
      </w:pPr>
    </w:lvl>
    <w:lvl w:ilvl="8" w:tplc="6D8C11DA">
      <w:start w:val="1"/>
      <w:numFmt w:val="lowerRoman"/>
      <w:lvlText w:val="%9."/>
      <w:lvlJc w:val="right"/>
      <w:pPr>
        <w:ind w:left="6480" w:hanging="180"/>
      </w:pPr>
    </w:lvl>
  </w:abstractNum>
  <w:abstractNum w:abstractNumId="6" w15:restartNumberingAfterBreak="0">
    <w:nsid w:val="178329F6"/>
    <w:multiLevelType w:val="hybridMultilevel"/>
    <w:tmpl w:val="EF38CE98"/>
    <w:lvl w:ilvl="0" w:tplc="A5E4A9C8">
      <w:start w:val="1"/>
      <w:numFmt w:val="decimal"/>
      <w:lvlText w:val="%1."/>
      <w:lvlJc w:val="left"/>
      <w:pPr>
        <w:ind w:left="720" w:hanging="360"/>
      </w:pPr>
      <w:rPr>
        <w:rFonts w:asciiTheme="minorHAnsi" w:eastAsia="Calibri,Times New Roman" w:hAnsiTheme="minorHAnsi" w:cstheme="minorHAnsi"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44460C"/>
    <w:multiLevelType w:val="hybridMultilevel"/>
    <w:tmpl w:val="CF20B57A"/>
    <w:lvl w:ilvl="0" w:tplc="75E44A3C">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4263FE"/>
    <w:multiLevelType w:val="hybridMultilevel"/>
    <w:tmpl w:val="012EB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1C7AF1"/>
    <w:multiLevelType w:val="multilevel"/>
    <w:tmpl w:val="D36691AC"/>
    <w:lvl w:ilvl="0">
      <w:start w:val="1"/>
      <w:numFmt w:val="decimal"/>
      <w:lvlText w:val="%1."/>
      <w:lvlJc w:val="left"/>
      <w:pPr>
        <w:ind w:left="720" w:hanging="360"/>
      </w:pPr>
      <w:rPr>
        <w:rFonts w:asciiTheme="minorHAnsi" w:eastAsia="Calibri,Times New Roman" w:hAnsiTheme="minorHAnsi" w:cstheme="minorHAnsi"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1C84078"/>
    <w:multiLevelType w:val="hybridMultilevel"/>
    <w:tmpl w:val="FF58577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9B41DD"/>
    <w:multiLevelType w:val="hybridMultilevel"/>
    <w:tmpl w:val="6A02582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732501"/>
    <w:multiLevelType w:val="hybridMultilevel"/>
    <w:tmpl w:val="B7FCC306"/>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3087182"/>
    <w:multiLevelType w:val="hybridMultilevel"/>
    <w:tmpl w:val="CE005268"/>
    <w:lvl w:ilvl="0" w:tplc="FFFFFFFF">
      <w:start w:val="1"/>
      <w:numFmt w:val="lowerLetter"/>
      <w:lvlText w:val="%1."/>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8F60138"/>
    <w:multiLevelType w:val="hybridMultilevel"/>
    <w:tmpl w:val="F76C9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CB7162"/>
    <w:multiLevelType w:val="hybridMultilevel"/>
    <w:tmpl w:val="FEBE7DD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8635A5"/>
    <w:multiLevelType w:val="hybridMultilevel"/>
    <w:tmpl w:val="5B600F96"/>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7" w15:restartNumberingAfterBreak="0">
    <w:nsid w:val="4231228E"/>
    <w:multiLevelType w:val="hybridMultilevel"/>
    <w:tmpl w:val="8E1E9CF2"/>
    <w:lvl w:ilvl="0" w:tplc="A5E4A9C8">
      <w:start w:val="1"/>
      <w:numFmt w:val="decimal"/>
      <w:lvlText w:val="%1."/>
      <w:lvlJc w:val="left"/>
      <w:pPr>
        <w:ind w:left="720" w:hanging="360"/>
      </w:pPr>
      <w:rPr>
        <w:rFonts w:asciiTheme="minorHAnsi" w:eastAsia="Calibri,Times New Roman" w:hAnsiTheme="minorHAnsi" w:cstheme="minorHAnsi"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2C53470"/>
    <w:multiLevelType w:val="hybridMultilevel"/>
    <w:tmpl w:val="BEB4899A"/>
    <w:lvl w:ilvl="0" w:tplc="A5E4A9C8">
      <w:start w:val="1"/>
      <w:numFmt w:val="decimal"/>
      <w:lvlText w:val="%1."/>
      <w:lvlJc w:val="left"/>
      <w:pPr>
        <w:ind w:left="720" w:hanging="360"/>
      </w:pPr>
      <w:rPr>
        <w:rFonts w:asciiTheme="minorHAnsi" w:eastAsia="Calibri,Times New Roman" w:hAnsiTheme="minorHAnsi" w:cstheme="minorHAnsi"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6717D5"/>
    <w:multiLevelType w:val="hybridMultilevel"/>
    <w:tmpl w:val="18803082"/>
    <w:lvl w:ilvl="0" w:tplc="A5E4A9C8">
      <w:start w:val="1"/>
      <w:numFmt w:val="decimal"/>
      <w:lvlText w:val="%1."/>
      <w:lvlJc w:val="left"/>
      <w:pPr>
        <w:ind w:left="1146" w:hanging="360"/>
      </w:pPr>
      <w:rPr>
        <w:rFonts w:asciiTheme="minorHAnsi" w:eastAsia="Calibri,Times New Roman" w:hAnsiTheme="minorHAnsi" w:cstheme="minorHAnsi" w:hint="default"/>
        <w:color w:val="000000" w:themeColor="text1"/>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0" w15:restartNumberingAfterBreak="0">
    <w:nsid w:val="465160C6"/>
    <w:multiLevelType w:val="hybridMultilevel"/>
    <w:tmpl w:val="B58C7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B714BC"/>
    <w:multiLevelType w:val="hybridMultilevel"/>
    <w:tmpl w:val="3AF64F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7F566A"/>
    <w:multiLevelType w:val="hybridMultilevel"/>
    <w:tmpl w:val="84C4EA5A"/>
    <w:lvl w:ilvl="0" w:tplc="2A1609F2">
      <w:start w:val="1"/>
      <w:numFmt w:val="decimal"/>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D9B7D86"/>
    <w:multiLevelType w:val="hybridMultilevel"/>
    <w:tmpl w:val="B1AE0E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06584F"/>
    <w:multiLevelType w:val="hybridMultilevel"/>
    <w:tmpl w:val="3512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652042"/>
    <w:multiLevelType w:val="hybridMultilevel"/>
    <w:tmpl w:val="A73668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0FA412C"/>
    <w:multiLevelType w:val="hybridMultilevel"/>
    <w:tmpl w:val="F3663660"/>
    <w:lvl w:ilvl="0" w:tplc="79E6DEEC">
      <w:start w:val="1"/>
      <w:numFmt w:val="bullet"/>
      <w:lvlText w:val=""/>
      <w:lvlJc w:val="left"/>
      <w:pPr>
        <w:ind w:left="360" w:hanging="360"/>
      </w:pPr>
      <w:rPr>
        <w:rFonts w:ascii="Symbol" w:hAnsi="Symbol" w:hint="default"/>
      </w:rPr>
    </w:lvl>
    <w:lvl w:ilvl="1" w:tplc="A3CA2796">
      <w:start w:val="1"/>
      <w:numFmt w:val="bullet"/>
      <w:lvlText w:val="o"/>
      <w:lvlJc w:val="left"/>
      <w:pPr>
        <w:ind w:left="1080" w:hanging="360"/>
      </w:pPr>
      <w:rPr>
        <w:rFonts w:ascii="Courier New" w:hAnsi="Courier New" w:hint="default"/>
      </w:rPr>
    </w:lvl>
    <w:lvl w:ilvl="2" w:tplc="17766BDE">
      <w:start w:val="1"/>
      <w:numFmt w:val="bullet"/>
      <w:lvlText w:val=""/>
      <w:lvlJc w:val="left"/>
      <w:pPr>
        <w:ind w:left="1800" w:hanging="360"/>
      </w:pPr>
      <w:rPr>
        <w:rFonts w:ascii="Wingdings" w:hAnsi="Wingdings" w:hint="default"/>
      </w:rPr>
    </w:lvl>
    <w:lvl w:ilvl="3" w:tplc="B5AACB30">
      <w:start w:val="1"/>
      <w:numFmt w:val="bullet"/>
      <w:lvlText w:val=""/>
      <w:lvlJc w:val="left"/>
      <w:pPr>
        <w:ind w:left="2520" w:hanging="360"/>
      </w:pPr>
      <w:rPr>
        <w:rFonts w:ascii="Symbol" w:hAnsi="Symbol" w:hint="default"/>
      </w:rPr>
    </w:lvl>
    <w:lvl w:ilvl="4" w:tplc="695A1CFE">
      <w:start w:val="1"/>
      <w:numFmt w:val="bullet"/>
      <w:lvlText w:val="o"/>
      <w:lvlJc w:val="left"/>
      <w:pPr>
        <w:ind w:left="3240" w:hanging="360"/>
      </w:pPr>
      <w:rPr>
        <w:rFonts w:ascii="Courier New" w:hAnsi="Courier New" w:hint="default"/>
      </w:rPr>
    </w:lvl>
    <w:lvl w:ilvl="5" w:tplc="A98E1AC4">
      <w:start w:val="1"/>
      <w:numFmt w:val="bullet"/>
      <w:lvlText w:val=""/>
      <w:lvlJc w:val="left"/>
      <w:pPr>
        <w:ind w:left="3960" w:hanging="360"/>
      </w:pPr>
      <w:rPr>
        <w:rFonts w:ascii="Wingdings" w:hAnsi="Wingdings" w:hint="default"/>
      </w:rPr>
    </w:lvl>
    <w:lvl w:ilvl="6" w:tplc="427CDF02">
      <w:start w:val="1"/>
      <w:numFmt w:val="bullet"/>
      <w:lvlText w:val=""/>
      <w:lvlJc w:val="left"/>
      <w:pPr>
        <w:ind w:left="4680" w:hanging="360"/>
      </w:pPr>
      <w:rPr>
        <w:rFonts w:ascii="Symbol" w:hAnsi="Symbol" w:hint="default"/>
      </w:rPr>
    </w:lvl>
    <w:lvl w:ilvl="7" w:tplc="F84031A2">
      <w:start w:val="1"/>
      <w:numFmt w:val="bullet"/>
      <w:lvlText w:val="o"/>
      <w:lvlJc w:val="left"/>
      <w:pPr>
        <w:ind w:left="5400" w:hanging="360"/>
      </w:pPr>
      <w:rPr>
        <w:rFonts w:ascii="Courier New" w:hAnsi="Courier New" w:hint="default"/>
      </w:rPr>
    </w:lvl>
    <w:lvl w:ilvl="8" w:tplc="779AA8F2">
      <w:start w:val="1"/>
      <w:numFmt w:val="bullet"/>
      <w:lvlText w:val=""/>
      <w:lvlJc w:val="left"/>
      <w:pPr>
        <w:ind w:left="6120" w:hanging="360"/>
      </w:pPr>
      <w:rPr>
        <w:rFonts w:ascii="Wingdings" w:hAnsi="Wingdings" w:hint="default"/>
      </w:rPr>
    </w:lvl>
  </w:abstractNum>
  <w:abstractNum w:abstractNumId="27" w15:restartNumberingAfterBreak="0">
    <w:nsid w:val="5635056D"/>
    <w:multiLevelType w:val="multilevel"/>
    <w:tmpl w:val="CC487E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679261A"/>
    <w:multiLevelType w:val="hybridMultilevel"/>
    <w:tmpl w:val="FFEA804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0C798A"/>
    <w:multiLevelType w:val="hybridMultilevel"/>
    <w:tmpl w:val="B7769ABE"/>
    <w:lvl w:ilvl="0" w:tplc="A5E4A9C8">
      <w:start w:val="1"/>
      <w:numFmt w:val="decimal"/>
      <w:lvlText w:val="%1."/>
      <w:lvlJc w:val="left"/>
      <w:pPr>
        <w:ind w:left="720" w:hanging="360"/>
      </w:pPr>
      <w:rPr>
        <w:rFonts w:asciiTheme="minorHAnsi" w:eastAsia="Calibri,Times New Roman" w:hAnsiTheme="minorHAnsi" w:cstheme="minorHAnsi" w:hint="default"/>
        <w:color w:val="000000" w:themeColor="text1"/>
      </w:rPr>
    </w:lvl>
    <w:lvl w:ilvl="1" w:tplc="08090019">
      <w:start w:val="1"/>
      <w:numFmt w:val="lowerLetter"/>
      <w:lvlText w:val="%2."/>
      <w:lvlJc w:val="left"/>
      <w:pPr>
        <w:ind w:left="1440" w:hanging="360"/>
      </w:pPr>
    </w:lvl>
    <w:lvl w:ilvl="2" w:tplc="FFFFFFFF">
      <w:start w:val="1"/>
      <w:numFmt w:val="decimal"/>
      <w:lvlText w:val="%3."/>
      <w:lvlJc w:val="left"/>
      <w:pPr>
        <w:ind w:left="2340" w:hanging="36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CBB4E34"/>
    <w:multiLevelType w:val="hybridMultilevel"/>
    <w:tmpl w:val="8E1E9CF2"/>
    <w:lvl w:ilvl="0" w:tplc="A5E4A9C8">
      <w:start w:val="1"/>
      <w:numFmt w:val="decimal"/>
      <w:lvlText w:val="%1."/>
      <w:lvlJc w:val="left"/>
      <w:pPr>
        <w:ind w:left="720" w:hanging="360"/>
      </w:pPr>
      <w:rPr>
        <w:rFonts w:asciiTheme="minorHAnsi" w:eastAsia="Calibri,Times New Roman" w:hAnsiTheme="minorHAnsi" w:cstheme="minorHAnsi"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D6E1187"/>
    <w:multiLevelType w:val="hybridMultilevel"/>
    <w:tmpl w:val="54AA5112"/>
    <w:lvl w:ilvl="0" w:tplc="CE842322">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7602FB"/>
    <w:multiLevelType w:val="hybridMultilevel"/>
    <w:tmpl w:val="F6E8E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AD59DF"/>
    <w:multiLevelType w:val="hybridMultilevel"/>
    <w:tmpl w:val="00A2C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210953"/>
    <w:multiLevelType w:val="hybridMultilevel"/>
    <w:tmpl w:val="7746470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BB68E9"/>
    <w:multiLevelType w:val="hybridMultilevel"/>
    <w:tmpl w:val="20105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EC52E9"/>
    <w:multiLevelType w:val="hybridMultilevel"/>
    <w:tmpl w:val="D2861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114DFB"/>
    <w:multiLevelType w:val="hybridMultilevel"/>
    <w:tmpl w:val="39362CD4"/>
    <w:lvl w:ilvl="0" w:tplc="CE842322">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F74233"/>
    <w:multiLevelType w:val="hybridMultilevel"/>
    <w:tmpl w:val="B54A4EDA"/>
    <w:lvl w:ilvl="0" w:tplc="659228A0">
      <w:start w:val="1"/>
      <w:numFmt w:val="bullet"/>
      <w:lvlText w:val=""/>
      <w:lvlJc w:val="left"/>
      <w:pPr>
        <w:ind w:left="720" w:hanging="360"/>
      </w:pPr>
      <w:rPr>
        <w:rFonts w:ascii="Symbol" w:hAnsi="Symbol" w:hint="default"/>
      </w:rPr>
    </w:lvl>
    <w:lvl w:ilvl="1" w:tplc="0E4E49DE">
      <w:start w:val="1"/>
      <w:numFmt w:val="bullet"/>
      <w:lvlText w:val="o"/>
      <w:lvlJc w:val="left"/>
      <w:pPr>
        <w:ind w:left="1440" w:hanging="360"/>
      </w:pPr>
      <w:rPr>
        <w:rFonts w:ascii="Courier New" w:hAnsi="Courier New" w:hint="default"/>
      </w:rPr>
    </w:lvl>
    <w:lvl w:ilvl="2" w:tplc="1AF47510">
      <w:start w:val="1"/>
      <w:numFmt w:val="bullet"/>
      <w:lvlText w:val=""/>
      <w:lvlJc w:val="left"/>
      <w:pPr>
        <w:ind w:left="2160" w:hanging="360"/>
      </w:pPr>
      <w:rPr>
        <w:rFonts w:ascii="Wingdings" w:hAnsi="Wingdings" w:hint="default"/>
      </w:rPr>
    </w:lvl>
    <w:lvl w:ilvl="3" w:tplc="4A309AD2">
      <w:start w:val="1"/>
      <w:numFmt w:val="bullet"/>
      <w:lvlText w:val=""/>
      <w:lvlJc w:val="left"/>
      <w:pPr>
        <w:ind w:left="2880" w:hanging="360"/>
      </w:pPr>
      <w:rPr>
        <w:rFonts w:ascii="Symbol" w:hAnsi="Symbol" w:hint="default"/>
      </w:rPr>
    </w:lvl>
    <w:lvl w:ilvl="4" w:tplc="D19A7A36">
      <w:start w:val="1"/>
      <w:numFmt w:val="bullet"/>
      <w:lvlText w:val="o"/>
      <w:lvlJc w:val="left"/>
      <w:pPr>
        <w:ind w:left="3600" w:hanging="360"/>
      </w:pPr>
      <w:rPr>
        <w:rFonts w:ascii="Courier New" w:hAnsi="Courier New" w:hint="default"/>
      </w:rPr>
    </w:lvl>
    <w:lvl w:ilvl="5" w:tplc="DDA8092C">
      <w:start w:val="1"/>
      <w:numFmt w:val="bullet"/>
      <w:lvlText w:val=""/>
      <w:lvlJc w:val="left"/>
      <w:pPr>
        <w:ind w:left="4320" w:hanging="360"/>
      </w:pPr>
      <w:rPr>
        <w:rFonts w:ascii="Wingdings" w:hAnsi="Wingdings" w:hint="default"/>
      </w:rPr>
    </w:lvl>
    <w:lvl w:ilvl="6" w:tplc="2C54DF0A">
      <w:start w:val="1"/>
      <w:numFmt w:val="bullet"/>
      <w:lvlText w:val=""/>
      <w:lvlJc w:val="left"/>
      <w:pPr>
        <w:ind w:left="5040" w:hanging="360"/>
      </w:pPr>
      <w:rPr>
        <w:rFonts w:ascii="Symbol" w:hAnsi="Symbol" w:hint="default"/>
      </w:rPr>
    </w:lvl>
    <w:lvl w:ilvl="7" w:tplc="257C4A54">
      <w:start w:val="1"/>
      <w:numFmt w:val="bullet"/>
      <w:lvlText w:val="o"/>
      <w:lvlJc w:val="left"/>
      <w:pPr>
        <w:ind w:left="5760" w:hanging="360"/>
      </w:pPr>
      <w:rPr>
        <w:rFonts w:ascii="Courier New" w:hAnsi="Courier New" w:hint="default"/>
      </w:rPr>
    </w:lvl>
    <w:lvl w:ilvl="8" w:tplc="09DC7CE6">
      <w:start w:val="1"/>
      <w:numFmt w:val="bullet"/>
      <w:lvlText w:val=""/>
      <w:lvlJc w:val="left"/>
      <w:pPr>
        <w:ind w:left="6480" w:hanging="360"/>
      </w:pPr>
      <w:rPr>
        <w:rFonts w:ascii="Wingdings" w:hAnsi="Wingdings" w:hint="default"/>
      </w:rPr>
    </w:lvl>
  </w:abstractNum>
  <w:abstractNum w:abstractNumId="39" w15:restartNumberingAfterBreak="0">
    <w:nsid w:val="74EB3179"/>
    <w:multiLevelType w:val="hybridMultilevel"/>
    <w:tmpl w:val="FC3418A2"/>
    <w:lvl w:ilvl="0" w:tplc="80388BF4">
      <w:start w:val="1"/>
      <w:numFmt w:val="decimal"/>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76A7334"/>
    <w:multiLevelType w:val="hybridMultilevel"/>
    <w:tmpl w:val="A4D4E0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CB913E9"/>
    <w:multiLevelType w:val="hybridMultilevel"/>
    <w:tmpl w:val="019863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D4D361C"/>
    <w:multiLevelType w:val="hybridMultilevel"/>
    <w:tmpl w:val="7654FAF4"/>
    <w:lvl w:ilvl="0" w:tplc="6010B0E2">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ED33F42"/>
    <w:multiLevelType w:val="hybridMultilevel"/>
    <w:tmpl w:val="71183038"/>
    <w:lvl w:ilvl="0" w:tplc="0809000F">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7"/>
  </w:num>
  <w:num w:numId="3">
    <w:abstractNumId w:val="37"/>
  </w:num>
  <w:num w:numId="4">
    <w:abstractNumId w:val="25"/>
  </w:num>
  <w:num w:numId="5">
    <w:abstractNumId w:val="38"/>
  </w:num>
  <w:num w:numId="6">
    <w:abstractNumId w:val="11"/>
  </w:num>
  <w:num w:numId="7">
    <w:abstractNumId w:val="31"/>
  </w:num>
  <w:num w:numId="8">
    <w:abstractNumId w:val="32"/>
  </w:num>
  <w:num w:numId="9">
    <w:abstractNumId w:val="33"/>
  </w:num>
  <w:num w:numId="10">
    <w:abstractNumId w:val="26"/>
  </w:num>
  <w:num w:numId="11">
    <w:abstractNumId w:val="13"/>
  </w:num>
  <w:num w:numId="12">
    <w:abstractNumId w:val="40"/>
  </w:num>
  <w:num w:numId="13">
    <w:abstractNumId w:val="42"/>
  </w:num>
  <w:num w:numId="14">
    <w:abstractNumId w:val="12"/>
  </w:num>
  <w:num w:numId="15">
    <w:abstractNumId w:val="15"/>
  </w:num>
  <w:num w:numId="16">
    <w:abstractNumId w:val="7"/>
  </w:num>
  <w:num w:numId="17">
    <w:abstractNumId w:val="29"/>
  </w:num>
  <w:num w:numId="18">
    <w:abstractNumId w:val="8"/>
  </w:num>
  <w:num w:numId="19">
    <w:abstractNumId w:val="4"/>
  </w:num>
  <w:num w:numId="20">
    <w:abstractNumId w:val="16"/>
  </w:num>
  <w:num w:numId="21">
    <w:abstractNumId w:val="23"/>
  </w:num>
  <w:num w:numId="22">
    <w:abstractNumId w:val="21"/>
  </w:num>
  <w:num w:numId="23">
    <w:abstractNumId w:val="19"/>
  </w:num>
  <w:num w:numId="24">
    <w:abstractNumId w:val="6"/>
  </w:num>
  <w:num w:numId="25">
    <w:abstractNumId w:val="18"/>
  </w:num>
  <w:num w:numId="26">
    <w:abstractNumId w:val="30"/>
  </w:num>
  <w:num w:numId="27">
    <w:abstractNumId w:val="17"/>
  </w:num>
  <w:num w:numId="28">
    <w:abstractNumId w:val="43"/>
  </w:num>
  <w:num w:numId="29">
    <w:abstractNumId w:val="14"/>
  </w:num>
  <w:num w:numId="30">
    <w:abstractNumId w:val="34"/>
  </w:num>
  <w:num w:numId="31">
    <w:abstractNumId w:val="1"/>
  </w:num>
  <w:num w:numId="32">
    <w:abstractNumId w:val="28"/>
  </w:num>
  <w:num w:numId="33">
    <w:abstractNumId w:val="41"/>
  </w:num>
  <w:num w:numId="34">
    <w:abstractNumId w:val="9"/>
  </w:num>
  <w:num w:numId="35">
    <w:abstractNumId w:val="39"/>
  </w:num>
  <w:num w:numId="36">
    <w:abstractNumId w:val="10"/>
  </w:num>
  <w:num w:numId="37">
    <w:abstractNumId w:val="20"/>
  </w:num>
  <w:num w:numId="38">
    <w:abstractNumId w:val="24"/>
  </w:num>
  <w:num w:numId="39">
    <w:abstractNumId w:val="3"/>
  </w:num>
  <w:num w:numId="40">
    <w:abstractNumId w:val="35"/>
  </w:num>
  <w:num w:numId="41">
    <w:abstractNumId w:val="2"/>
  </w:num>
  <w:num w:numId="42">
    <w:abstractNumId w:val="22"/>
  </w:num>
  <w:num w:numId="43">
    <w:abstractNumId w:val="0"/>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E09"/>
    <w:rsid w:val="00001632"/>
    <w:rsid w:val="00013A67"/>
    <w:rsid w:val="0004232C"/>
    <w:rsid w:val="00047C5C"/>
    <w:rsid w:val="000547DF"/>
    <w:rsid w:val="0006177B"/>
    <w:rsid w:val="00073BFC"/>
    <w:rsid w:val="00086E61"/>
    <w:rsid w:val="00097639"/>
    <w:rsid w:val="000C086A"/>
    <w:rsid w:val="000E2FAE"/>
    <w:rsid w:val="000E2FB3"/>
    <w:rsid w:val="000E3ED7"/>
    <w:rsid w:val="001077E9"/>
    <w:rsid w:val="00112EF1"/>
    <w:rsid w:val="001243C7"/>
    <w:rsid w:val="00182235"/>
    <w:rsid w:val="0018756C"/>
    <w:rsid w:val="001A61D8"/>
    <w:rsid w:val="001B5D99"/>
    <w:rsid w:val="001C072A"/>
    <w:rsid w:val="001F1E09"/>
    <w:rsid w:val="001F3909"/>
    <w:rsid w:val="0020401A"/>
    <w:rsid w:val="00242AFD"/>
    <w:rsid w:val="002455A1"/>
    <w:rsid w:val="00252BD8"/>
    <w:rsid w:val="0026031D"/>
    <w:rsid w:val="00273A7C"/>
    <w:rsid w:val="00282562"/>
    <w:rsid w:val="00297E1D"/>
    <w:rsid w:val="002A397F"/>
    <w:rsid w:val="002B6372"/>
    <w:rsid w:val="002C4006"/>
    <w:rsid w:val="002D3387"/>
    <w:rsid w:val="002E6D40"/>
    <w:rsid w:val="002F309C"/>
    <w:rsid w:val="00321A51"/>
    <w:rsid w:val="0033264C"/>
    <w:rsid w:val="0033435E"/>
    <w:rsid w:val="0034154A"/>
    <w:rsid w:val="00345D93"/>
    <w:rsid w:val="003535A2"/>
    <w:rsid w:val="00374947"/>
    <w:rsid w:val="00376893"/>
    <w:rsid w:val="003833F5"/>
    <w:rsid w:val="00386379"/>
    <w:rsid w:val="003943CB"/>
    <w:rsid w:val="0039708E"/>
    <w:rsid w:val="003A204F"/>
    <w:rsid w:val="003B5917"/>
    <w:rsid w:val="003C2AAD"/>
    <w:rsid w:val="003C33B6"/>
    <w:rsid w:val="003D5CA8"/>
    <w:rsid w:val="003E1458"/>
    <w:rsid w:val="003F065D"/>
    <w:rsid w:val="003F5966"/>
    <w:rsid w:val="004006B8"/>
    <w:rsid w:val="00401BB8"/>
    <w:rsid w:val="004136D4"/>
    <w:rsid w:val="0041651F"/>
    <w:rsid w:val="004361C9"/>
    <w:rsid w:val="00440960"/>
    <w:rsid w:val="00440F05"/>
    <w:rsid w:val="00452F76"/>
    <w:rsid w:val="004608D3"/>
    <w:rsid w:val="00461947"/>
    <w:rsid w:val="00465667"/>
    <w:rsid w:val="004661FB"/>
    <w:rsid w:val="00471872"/>
    <w:rsid w:val="00485D38"/>
    <w:rsid w:val="004861A0"/>
    <w:rsid w:val="004963C3"/>
    <w:rsid w:val="004A53D5"/>
    <w:rsid w:val="004B4883"/>
    <w:rsid w:val="004C4A31"/>
    <w:rsid w:val="004D1091"/>
    <w:rsid w:val="004E4C62"/>
    <w:rsid w:val="004E6E6E"/>
    <w:rsid w:val="004F0E58"/>
    <w:rsid w:val="00522013"/>
    <w:rsid w:val="0054008B"/>
    <w:rsid w:val="00551769"/>
    <w:rsid w:val="00564BE6"/>
    <w:rsid w:val="00575602"/>
    <w:rsid w:val="005967F0"/>
    <w:rsid w:val="005C1DEB"/>
    <w:rsid w:val="005F3D54"/>
    <w:rsid w:val="005F4A73"/>
    <w:rsid w:val="006154E7"/>
    <w:rsid w:val="00620C54"/>
    <w:rsid w:val="00626767"/>
    <w:rsid w:val="0066432F"/>
    <w:rsid w:val="00665F9A"/>
    <w:rsid w:val="0069626B"/>
    <w:rsid w:val="006A5100"/>
    <w:rsid w:val="006B3CC2"/>
    <w:rsid w:val="006C7FD0"/>
    <w:rsid w:val="006D2DD1"/>
    <w:rsid w:val="006F4538"/>
    <w:rsid w:val="00700AD6"/>
    <w:rsid w:val="007048F5"/>
    <w:rsid w:val="0070734A"/>
    <w:rsid w:val="007121CE"/>
    <w:rsid w:val="00722CD6"/>
    <w:rsid w:val="00724C56"/>
    <w:rsid w:val="00725692"/>
    <w:rsid w:val="0074603C"/>
    <w:rsid w:val="0075490A"/>
    <w:rsid w:val="00757128"/>
    <w:rsid w:val="00781B8F"/>
    <w:rsid w:val="00787E3F"/>
    <w:rsid w:val="00797702"/>
    <w:rsid w:val="007C3E06"/>
    <w:rsid w:val="007C59D3"/>
    <w:rsid w:val="0081660E"/>
    <w:rsid w:val="00836E60"/>
    <w:rsid w:val="00862AE6"/>
    <w:rsid w:val="00864D74"/>
    <w:rsid w:val="0087734A"/>
    <w:rsid w:val="00886434"/>
    <w:rsid w:val="00894B55"/>
    <w:rsid w:val="008A5B30"/>
    <w:rsid w:val="008B28E2"/>
    <w:rsid w:val="008C4939"/>
    <w:rsid w:val="008E2E74"/>
    <w:rsid w:val="008E31B7"/>
    <w:rsid w:val="008F5FCC"/>
    <w:rsid w:val="008F7A72"/>
    <w:rsid w:val="00906D51"/>
    <w:rsid w:val="00911E8E"/>
    <w:rsid w:val="009178A7"/>
    <w:rsid w:val="009204F3"/>
    <w:rsid w:val="009219D8"/>
    <w:rsid w:val="00921CE0"/>
    <w:rsid w:val="00937BF5"/>
    <w:rsid w:val="0095376A"/>
    <w:rsid w:val="009624D6"/>
    <w:rsid w:val="00964CF7"/>
    <w:rsid w:val="00973B74"/>
    <w:rsid w:val="00995805"/>
    <w:rsid w:val="009A6A4B"/>
    <w:rsid w:val="009A71FA"/>
    <w:rsid w:val="009D2EB5"/>
    <w:rsid w:val="009E1741"/>
    <w:rsid w:val="009F35AB"/>
    <w:rsid w:val="00A0596F"/>
    <w:rsid w:val="00A16E09"/>
    <w:rsid w:val="00A16FCD"/>
    <w:rsid w:val="00A209A4"/>
    <w:rsid w:val="00A34019"/>
    <w:rsid w:val="00A40300"/>
    <w:rsid w:val="00A41026"/>
    <w:rsid w:val="00A52414"/>
    <w:rsid w:val="00A5672A"/>
    <w:rsid w:val="00A74DF6"/>
    <w:rsid w:val="00A75D4F"/>
    <w:rsid w:val="00A812B4"/>
    <w:rsid w:val="00AA75D3"/>
    <w:rsid w:val="00AB5DF9"/>
    <w:rsid w:val="00AB7B35"/>
    <w:rsid w:val="00AC0D5A"/>
    <w:rsid w:val="00AC36AE"/>
    <w:rsid w:val="00B11DFB"/>
    <w:rsid w:val="00B23719"/>
    <w:rsid w:val="00B27F5D"/>
    <w:rsid w:val="00B5743C"/>
    <w:rsid w:val="00B57DCC"/>
    <w:rsid w:val="00B648E5"/>
    <w:rsid w:val="00B744D3"/>
    <w:rsid w:val="00B75AD5"/>
    <w:rsid w:val="00B808D5"/>
    <w:rsid w:val="00B80D17"/>
    <w:rsid w:val="00B836F1"/>
    <w:rsid w:val="00B85FB3"/>
    <w:rsid w:val="00B8608C"/>
    <w:rsid w:val="00BA031A"/>
    <w:rsid w:val="00BC05D1"/>
    <w:rsid w:val="00BC4B77"/>
    <w:rsid w:val="00BD046D"/>
    <w:rsid w:val="00BD25D0"/>
    <w:rsid w:val="00C00A83"/>
    <w:rsid w:val="00C0264B"/>
    <w:rsid w:val="00C13D30"/>
    <w:rsid w:val="00C23B49"/>
    <w:rsid w:val="00C32F01"/>
    <w:rsid w:val="00C34759"/>
    <w:rsid w:val="00C37B38"/>
    <w:rsid w:val="00C40B29"/>
    <w:rsid w:val="00C4149D"/>
    <w:rsid w:val="00C4322C"/>
    <w:rsid w:val="00C4429F"/>
    <w:rsid w:val="00C52C0A"/>
    <w:rsid w:val="00C52F6D"/>
    <w:rsid w:val="00C54400"/>
    <w:rsid w:val="00C655C6"/>
    <w:rsid w:val="00C72447"/>
    <w:rsid w:val="00C7711A"/>
    <w:rsid w:val="00C8503F"/>
    <w:rsid w:val="00C90C2D"/>
    <w:rsid w:val="00C93981"/>
    <w:rsid w:val="00C97C4B"/>
    <w:rsid w:val="00CB0BDC"/>
    <w:rsid w:val="00CC2602"/>
    <w:rsid w:val="00CC41CB"/>
    <w:rsid w:val="00CC4E7B"/>
    <w:rsid w:val="00CC5571"/>
    <w:rsid w:val="00CC734D"/>
    <w:rsid w:val="00CD0013"/>
    <w:rsid w:val="00CD6768"/>
    <w:rsid w:val="00D020FA"/>
    <w:rsid w:val="00D1496F"/>
    <w:rsid w:val="00D51B50"/>
    <w:rsid w:val="00D62095"/>
    <w:rsid w:val="00D67DFF"/>
    <w:rsid w:val="00D9194D"/>
    <w:rsid w:val="00D97A61"/>
    <w:rsid w:val="00D97FBB"/>
    <w:rsid w:val="00DA4C64"/>
    <w:rsid w:val="00DB4992"/>
    <w:rsid w:val="00DB588D"/>
    <w:rsid w:val="00DD0480"/>
    <w:rsid w:val="00DD3CC8"/>
    <w:rsid w:val="00DD7A9A"/>
    <w:rsid w:val="00DE1423"/>
    <w:rsid w:val="00DE4C7C"/>
    <w:rsid w:val="00DE51CB"/>
    <w:rsid w:val="00E07A9D"/>
    <w:rsid w:val="00E10D52"/>
    <w:rsid w:val="00E147EE"/>
    <w:rsid w:val="00E1586F"/>
    <w:rsid w:val="00E2373C"/>
    <w:rsid w:val="00E30452"/>
    <w:rsid w:val="00E52AA0"/>
    <w:rsid w:val="00E52F58"/>
    <w:rsid w:val="00E6781C"/>
    <w:rsid w:val="00E7396C"/>
    <w:rsid w:val="00E87A89"/>
    <w:rsid w:val="00EA3A45"/>
    <w:rsid w:val="00EE079F"/>
    <w:rsid w:val="00EE421D"/>
    <w:rsid w:val="00EF45F1"/>
    <w:rsid w:val="00EF7BF6"/>
    <w:rsid w:val="00EF7D89"/>
    <w:rsid w:val="00F35472"/>
    <w:rsid w:val="00F548D0"/>
    <w:rsid w:val="00F643DC"/>
    <w:rsid w:val="00F66C66"/>
    <w:rsid w:val="00F741D2"/>
    <w:rsid w:val="00F82C86"/>
    <w:rsid w:val="00F84797"/>
    <w:rsid w:val="00F859BC"/>
    <w:rsid w:val="00F86C90"/>
    <w:rsid w:val="00F94236"/>
    <w:rsid w:val="00F975D8"/>
    <w:rsid w:val="00FB3BDC"/>
    <w:rsid w:val="00FC7C9B"/>
    <w:rsid w:val="00FF46A9"/>
    <w:rsid w:val="030F2392"/>
    <w:rsid w:val="10DC3896"/>
    <w:rsid w:val="14751875"/>
    <w:rsid w:val="157CCD76"/>
    <w:rsid w:val="280CF157"/>
    <w:rsid w:val="298DC7AB"/>
    <w:rsid w:val="2DB31905"/>
    <w:rsid w:val="2F301681"/>
    <w:rsid w:val="34C4B9AC"/>
    <w:rsid w:val="4A54182E"/>
    <w:rsid w:val="4E89C837"/>
    <w:rsid w:val="5203BC0C"/>
    <w:rsid w:val="630C0CAA"/>
    <w:rsid w:val="6B65E3EC"/>
    <w:rsid w:val="6E7FC0EC"/>
    <w:rsid w:val="74654B40"/>
    <w:rsid w:val="7B13C8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7D1EE6D"/>
  <w15:docId w15:val="{8A50AE62-5699-4024-9E90-C0DB284BB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672A"/>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paragraph" w:styleId="Heading2">
    <w:name w:val="heading 2"/>
    <w:basedOn w:val="Normal"/>
    <w:next w:val="Normal"/>
    <w:link w:val="Heading2Char"/>
    <w:uiPriority w:val="9"/>
    <w:unhideWhenUsed/>
    <w:qFormat/>
    <w:rsid w:val="00CD001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672A"/>
    <w:pPr>
      <w:ind w:left="720"/>
      <w:contextualSpacing/>
    </w:pPr>
  </w:style>
  <w:style w:type="paragraph" w:styleId="Header">
    <w:name w:val="header"/>
    <w:basedOn w:val="Normal"/>
    <w:link w:val="HeaderChar"/>
    <w:uiPriority w:val="99"/>
    <w:unhideWhenUsed/>
    <w:rsid w:val="00A567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672A"/>
  </w:style>
  <w:style w:type="paragraph" w:styleId="Footer">
    <w:name w:val="footer"/>
    <w:basedOn w:val="Normal"/>
    <w:link w:val="FooterChar"/>
    <w:uiPriority w:val="99"/>
    <w:unhideWhenUsed/>
    <w:rsid w:val="00A567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672A"/>
  </w:style>
  <w:style w:type="character" w:customStyle="1" w:styleId="Heading1Char">
    <w:name w:val="Heading 1 Char"/>
    <w:basedOn w:val="DefaultParagraphFont"/>
    <w:link w:val="Heading1"/>
    <w:uiPriority w:val="9"/>
    <w:rsid w:val="00A5672A"/>
    <w:rPr>
      <w:rFonts w:asciiTheme="majorHAnsi" w:eastAsiaTheme="majorEastAsia" w:hAnsiTheme="majorHAnsi" w:cstheme="majorBidi"/>
      <w:color w:val="2E74B5" w:themeColor="accent1" w:themeShade="BF"/>
      <w:sz w:val="32"/>
      <w:szCs w:val="32"/>
      <w:lang w:val="en-US"/>
    </w:rPr>
  </w:style>
  <w:style w:type="table" w:styleId="TableGrid">
    <w:name w:val="Table Grid"/>
    <w:basedOn w:val="TableNormal"/>
    <w:uiPriority w:val="39"/>
    <w:rsid w:val="00964CF7"/>
    <w:pPr>
      <w:spacing w:after="0" w:line="240" w:lineRule="auto"/>
    </w:pPr>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B5917"/>
    <w:rPr>
      <w:color w:val="808080"/>
    </w:rPr>
  </w:style>
  <w:style w:type="character" w:styleId="CommentReference">
    <w:name w:val="annotation reference"/>
    <w:basedOn w:val="DefaultParagraphFont"/>
    <w:uiPriority w:val="99"/>
    <w:semiHidden/>
    <w:unhideWhenUsed/>
    <w:rsid w:val="00C4429F"/>
    <w:rPr>
      <w:sz w:val="16"/>
      <w:szCs w:val="16"/>
    </w:rPr>
  </w:style>
  <w:style w:type="paragraph" w:styleId="CommentText">
    <w:name w:val="annotation text"/>
    <w:basedOn w:val="Normal"/>
    <w:link w:val="CommentTextChar"/>
    <w:uiPriority w:val="99"/>
    <w:semiHidden/>
    <w:unhideWhenUsed/>
    <w:rsid w:val="00C4429F"/>
    <w:pPr>
      <w:spacing w:line="240" w:lineRule="auto"/>
    </w:pPr>
    <w:rPr>
      <w:sz w:val="20"/>
      <w:szCs w:val="20"/>
    </w:rPr>
  </w:style>
  <w:style w:type="character" w:customStyle="1" w:styleId="CommentTextChar">
    <w:name w:val="Comment Text Char"/>
    <w:basedOn w:val="DefaultParagraphFont"/>
    <w:link w:val="CommentText"/>
    <w:uiPriority w:val="99"/>
    <w:semiHidden/>
    <w:rsid w:val="00C4429F"/>
    <w:rPr>
      <w:sz w:val="20"/>
      <w:szCs w:val="20"/>
    </w:rPr>
  </w:style>
  <w:style w:type="paragraph" w:styleId="CommentSubject">
    <w:name w:val="annotation subject"/>
    <w:basedOn w:val="CommentText"/>
    <w:next w:val="CommentText"/>
    <w:link w:val="CommentSubjectChar"/>
    <w:uiPriority w:val="99"/>
    <w:semiHidden/>
    <w:unhideWhenUsed/>
    <w:rsid w:val="00C4429F"/>
    <w:rPr>
      <w:b/>
      <w:bCs/>
    </w:rPr>
  </w:style>
  <w:style w:type="character" w:customStyle="1" w:styleId="CommentSubjectChar">
    <w:name w:val="Comment Subject Char"/>
    <w:basedOn w:val="CommentTextChar"/>
    <w:link w:val="CommentSubject"/>
    <w:uiPriority w:val="99"/>
    <w:semiHidden/>
    <w:rsid w:val="00C4429F"/>
    <w:rPr>
      <w:b/>
      <w:bCs/>
      <w:sz w:val="20"/>
      <w:szCs w:val="20"/>
    </w:rPr>
  </w:style>
  <w:style w:type="paragraph" w:styleId="BalloonText">
    <w:name w:val="Balloon Text"/>
    <w:basedOn w:val="Normal"/>
    <w:link w:val="BalloonTextChar"/>
    <w:uiPriority w:val="99"/>
    <w:semiHidden/>
    <w:unhideWhenUsed/>
    <w:rsid w:val="00C442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429F"/>
    <w:rPr>
      <w:rFonts w:ascii="Segoe UI" w:hAnsi="Segoe UI" w:cs="Segoe UI"/>
      <w:sz w:val="18"/>
      <w:szCs w:val="18"/>
    </w:rPr>
  </w:style>
  <w:style w:type="table" w:customStyle="1" w:styleId="GridTable1Light-Accent11">
    <w:name w:val="Grid Table 1 Light - Accent 11"/>
    <w:basedOn w:val="TableNorma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FootnoteText">
    <w:name w:val="footnote text"/>
    <w:basedOn w:val="Normal"/>
    <w:link w:val="FootnoteTextChar"/>
    <w:uiPriority w:val="99"/>
    <w:semiHidden/>
    <w:unhideWhenUsed/>
    <w:rsid w:val="00F741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41D2"/>
    <w:rPr>
      <w:sz w:val="20"/>
      <w:szCs w:val="20"/>
    </w:rPr>
  </w:style>
  <w:style w:type="character" w:styleId="FootnoteReference">
    <w:name w:val="footnote reference"/>
    <w:basedOn w:val="DefaultParagraphFont"/>
    <w:uiPriority w:val="99"/>
    <w:semiHidden/>
    <w:unhideWhenUsed/>
    <w:rsid w:val="00F741D2"/>
    <w:rPr>
      <w:vertAlign w:val="superscript"/>
    </w:rPr>
  </w:style>
  <w:style w:type="paragraph" w:styleId="NoSpacing">
    <w:name w:val="No Spacing"/>
    <w:uiPriority w:val="1"/>
    <w:qFormat/>
    <w:rsid w:val="00626767"/>
    <w:pPr>
      <w:spacing w:after="0" w:line="240" w:lineRule="auto"/>
    </w:pPr>
  </w:style>
  <w:style w:type="table" w:customStyle="1" w:styleId="TableGrid1">
    <w:name w:val="Table Grid1"/>
    <w:basedOn w:val="TableNormal"/>
    <w:next w:val="TableGrid"/>
    <w:uiPriority w:val="39"/>
    <w:rsid w:val="007C3E06"/>
    <w:pPr>
      <w:spacing w:after="0" w:line="240" w:lineRule="auto"/>
    </w:pPr>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D001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186586">
      <w:bodyDiv w:val="1"/>
      <w:marLeft w:val="0"/>
      <w:marRight w:val="0"/>
      <w:marTop w:val="0"/>
      <w:marBottom w:val="0"/>
      <w:divBdr>
        <w:top w:val="none" w:sz="0" w:space="0" w:color="auto"/>
        <w:left w:val="none" w:sz="0" w:space="0" w:color="auto"/>
        <w:bottom w:val="none" w:sz="0" w:space="0" w:color="auto"/>
        <w:right w:val="none" w:sz="0" w:space="0" w:color="auto"/>
      </w:divBdr>
    </w:div>
    <w:div w:id="92596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277DAC4C415B4A8AF9C82D3D2997D0" ma:contentTypeVersion="7" ma:contentTypeDescription="Create a new document." ma:contentTypeScope="" ma:versionID="eddb2304c618b4ff0de840904fa91d34">
  <xsd:schema xmlns:xsd="http://www.w3.org/2001/XMLSchema" xmlns:xs="http://www.w3.org/2001/XMLSchema" xmlns:p="http://schemas.microsoft.com/office/2006/metadata/properties" xmlns:ns2="36fa49f9-67ed-4529-9936-241c628a9484" xmlns:ns3="7a323d48-a27d-4869-b456-a2e16a562edd" targetNamespace="http://schemas.microsoft.com/office/2006/metadata/properties" ma:root="true" ma:fieldsID="2f528b1b847fe768f1b6542cb2e7e466" ns2:_="" ns3:_="">
    <xsd:import namespace="36fa49f9-67ed-4529-9936-241c628a9484"/>
    <xsd:import namespace="7a323d48-a27d-4869-b456-a2e16a562ed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a49f9-67ed-4529-9936-241c628a94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a323d48-a27d-4869-b456-a2e16a562ed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36fa49f9-67ed-4529-9936-241c628a9484">
      <UserInfo>
        <DisplayName>Damion Nickerson</DisplayName>
        <AccountId>18</AccountId>
        <AccountType/>
      </UserInfo>
      <UserInfo>
        <DisplayName>Jessica Grudgings</DisplayName>
        <AccountId>19</AccountId>
        <AccountType/>
      </UserInfo>
      <UserInfo>
        <DisplayName>Imogen Heywood</DisplayName>
        <AccountId>20</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48FCC-C2E0-4005-B5D9-FF0E02B4E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a49f9-67ed-4529-9936-241c628a9484"/>
    <ds:schemaRef ds:uri="7a323d48-a27d-4869-b456-a2e16a562e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514414-EA9A-4120-B774-625D12E40959}">
  <ds:schemaRefs>
    <ds:schemaRef ds:uri="http://schemas.microsoft.com/sharepoint/v3/contenttype/forms"/>
  </ds:schemaRefs>
</ds:datastoreItem>
</file>

<file path=customXml/itemProps3.xml><?xml version="1.0" encoding="utf-8"?>
<ds:datastoreItem xmlns:ds="http://schemas.openxmlformats.org/officeDocument/2006/customXml" ds:itemID="{CA63C45D-C15F-4294-A606-D6ACA7C38F2C}">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36fa49f9-67ed-4529-9936-241c628a9484"/>
    <ds:schemaRef ds:uri="http://purl.org/dc/terms/"/>
    <ds:schemaRef ds:uri="http://schemas.openxmlformats.org/package/2006/metadata/core-properties"/>
    <ds:schemaRef ds:uri="7a323d48-a27d-4869-b456-a2e16a562edd"/>
    <ds:schemaRef ds:uri="http://www.w3.org/XML/1998/namespace"/>
  </ds:schemaRefs>
</ds:datastoreItem>
</file>

<file path=customXml/itemProps4.xml><?xml version="1.0" encoding="utf-8"?>
<ds:datastoreItem xmlns:ds="http://schemas.openxmlformats.org/officeDocument/2006/customXml" ds:itemID="{7C5EEA71-4D17-4618-83E9-79AA1AF4B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2008</Words>
  <Characters>11447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DWP</Company>
  <LinksUpToDate>false</LinksUpToDate>
  <CharactersWithSpaces>13429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Imogen Heywood</dc:creator>
  <cp:lastModifiedBy>Jessica Grudgings</cp:lastModifiedBy>
  <cp:revision>4</cp:revision>
  <dcterms:created xsi:type="dcterms:W3CDTF">2017-06-22T11:42:00Z</dcterms:created>
  <dcterms:modified xsi:type="dcterms:W3CDTF">2017-06-22T16:08:00Z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0x0101009E277DAC4C415B4A8AF9C82D3D2997D0</vt:lpwstr>
  </property>
  <property fmtid="{D5CDD505-2E9C-101B-9397-08002B2CF9AE}" pid="3" name="_AdHocReviewCycleID">
    <vt:i4>1177665789</vt:i4>
  </property>
  <property fmtid="{D5CDD505-2E9C-101B-9397-08002B2CF9AE}" pid="4" name="_NewReviewCycle">
    <vt:lpwstr/>
  </property>
  <property fmtid="{D5CDD505-2E9C-101B-9397-08002B2CF9AE}" pid="5" name="_EmailSubject">
    <vt:lpwstr>Draft Findings Report</vt:lpwstr>
  </property>
  <property fmtid="{D5CDD505-2E9C-101B-9397-08002B2CF9AE}" pid="6" name="_AuthorEmail">
    <vt:lpwstr>BOLA.AKINWALE@DWP.GSI.GOV.UK</vt:lpwstr>
  </property>
  <property fmtid="{D5CDD505-2E9C-101B-9397-08002B2CF9AE}" pid="7" name="_AuthorEmailDisplayName">
    <vt:lpwstr>Akinwale Bola STRATEGY DIRECTORATE CAXTON HOUSE</vt:lpwstr>
  </property>
  <property fmtid="{D5CDD505-2E9C-101B-9397-08002B2CF9AE}" pid="8" name="_ReviewingToolsShownOnce">
    <vt:lpwstr/>
  </property>
</Properties>
</file>